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005/2025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</w:t>
      </w:r>
      <w:r w:rsidDel="00000000" w:rsidR="00000000" w:rsidRPr="00000000">
        <w:rPr>
          <w:sz w:val="22"/>
          <w:szCs w:val="22"/>
          <w:rtl w:val="0"/>
        </w:rPr>
        <w:t xml:space="preserve">as respostas aos recursos interpostos em face da questão subjetiva,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do presente edital.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CONVOCAR OS(AS) CANDIDATOS(AS) ÀS COTAS PARA PESSOAS NEGRAS (ANEXO II do edital) </w:t>
      </w:r>
      <w:r w:rsidDel="00000000" w:rsidR="00000000" w:rsidRPr="00000000">
        <w:rPr>
          <w:sz w:val="22"/>
          <w:szCs w:val="22"/>
          <w:rtl w:val="0"/>
        </w:rPr>
        <w:t xml:space="preserve">para confirmação da Autodeclaração racial/étnica.</w:t>
      </w:r>
    </w:p>
    <w:p w:rsidR="00000000" w:rsidDel="00000000" w:rsidP="00000000" w:rsidRDefault="00000000" w:rsidRPr="00000000" w14:paraId="00000006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2.1</w:t>
      </w:r>
      <w:r w:rsidDel="00000000" w:rsidR="00000000" w:rsidRPr="00000000">
        <w:rPr>
          <w:sz w:val="22"/>
          <w:szCs w:val="22"/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sz w:val="22"/>
          <w:szCs w:val="22"/>
          <w:rtl w:val="0"/>
        </w:rPr>
        <w:t xml:space="preserve"> desde que apresente, até às 23h59min do dia </w:t>
      </w:r>
      <w:r w:rsidDel="00000000" w:rsidR="00000000" w:rsidRPr="00000000">
        <w:rPr>
          <w:b w:val="1"/>
          <w:sz w:val="22"/>
          <w:szCs w:val="22"/>
          <w:rtl w:val="0"/>
        </w:rPr>
        <w:t xml:space="preserve">11 </w:t>
      </w:r>
      <w:r w:rsidDel="00000000" w:rsidR="00000000" w:rsidRPr="00000000">
        <w:rPr>
          <w:b w:val="1"/>
          <w:sz w:val="22"/>
          <w:szCs w:val="22"/>
          <w:rtl w:val="0"/>
        </w:rPr>
        <w:t xml:space="preserve">de março de 2025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a comprovação da aprovação anterior através do formulário disponível no seguinte endereço eletrônico: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https://forms.gle/bVNXcYCYdUmghMRm8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2.2 </w:t>
      </w:r>
      <w:r w:rsidDel="00000000" w:rsidR="00000000" w:rsidRPr="00000000">
        <w:rPr>
          <w:sz w:val="22"/>
          <w:szCs w:val="22"/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12 de março de 2025</w:t>
      </w:r>
      <w:r w:rsidDel="00000000" w:rsidR="00000000" w:rsidRPr="00000000">
        <w:rPr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sz w:val="22"/>
          <w:szCs w:val="22"/>
          <w:rtl w:val="0"/>
        </w:rPr>
        <w:t xml:space="preserve"> conforme os horários descritos no ANEXO II do presente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2.3</w:t>
      </w:r>
      <w:r w:rsidDel="00000000" w:rsidR="00000000" w:rsidRPr="00000000">
        <w:rPr>
          <w:sz w:val="22"/>
          <w:szCs w:val="22"/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9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2.4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A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2.5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B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2.6</w:t>
      </w:r>
      <w:r w:rsidDel="00000000" w:rsidR="00000000" w:rsidRPr="00000000">
        <w:rPr>
          <w:sz w:val="22"/>
          <w:szCs w:val="22"/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C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D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O uso de óculos escuros;</w:t>
      </w:r>
    </w:p>
    <w:p w:rsidR="00000000" w:rsidDel="00000000" w:rsidP="00000000" w:rsidRDefault="00000000" w:rsidRPr="00000000" w14:paraId="0000000E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0F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0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1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9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10 de março de 2025. </w:t>
      </w:r>
    </w:p>
    <w:p w:rsidR="00000000" w:rsidDel="00000000" w:rsidP="00000000" w:rsidRDefault="00000000" w:rsidRPr="00000000" w14:paraId="00000016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7">
      <w:pPr>
        <w:spacing w:after="240" w:before="40" w:line="276" w:lineRule="auto"/>
        <w:ind w:left="3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0" w:sz="6" w:val="single"/>
      </w:pBd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bVNXcYCYdUmghMRm8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1S+3cvXD2lA3wkg2EGe81glrQ==">CgMxLjA4AHIhMUJGZk9EQ2RaelBwYUFrSnp4U2FMYUFEN1BsZ2JUNkJ5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