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004/2024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JULGAMENTO DOS RECURSOS </w:t>
      </w:r>
      <w:r w:rsidDel="00000000" w:rsidR="00000000" w:rsidRPr="00000000">
        <w:rPr>
          <w:rtl w:val="0"/>
        </w:rPr>
        <w:t xml:space="preserve">em face da Análise Curricular, 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a LISTA DE CONVOCADOS </w:t>
      </w:r>
      <w:r w:rsidDel="00000000" w:rsidR="00000000" w:rsidRPr="00000000">
        <w:rPr>
          <w:rtl w:val="0"/>
        </w:rPr>
        <w:t xml:space="preserve">para a entrevista,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 </w:t>
      </w:r>
      <w:r w:rsidDel="00000000" w:rsidR="00000000" w:rsidRPr="00000000">
        <w:rPr>
          <w:rtl w:val="0"/>
        </w:rPr>
        <w:t xml:space="preserve">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nos dias 11 e 12 de junho de 2024, nos horários designados, de forma presencial e por videoconferência,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  <w:br w:type="textWrapping"/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05 de junho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-190497</wp:posOffset>
          </wp:positionV>
          <wp:extent cx="1062038" cy="875306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YYqyCT7XM3DltLBrOKM79eJLA==">CgMxLjA4AHIhMWd1eUVfT2FZZVFxY1N0aXhSN0hJVFZhT0hLZGd6R0w1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