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005/2024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DAS ENTREVISTAS</w:t>
      </w:r>
      <w:r w:rsidDel="00000000" w:rsidR="00000000" w:rsidRPr="00000000">
        <w:rPr>
          <w:rtl w:val="0"/>
        </w:rPr>
        <w:t xml:space="preserve">, conforme listas do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DIVULGAR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LISTA DE CANDIDATOS(AS) ÀS COTAS PARA PESSOAS NEGRAS CONVOCADOS(AS)</w:t>
      </w:r>
      <w:r w:rsidDel="00000000" w:rsidR="00000000" w:rsidRPr="00000000">
        <w:rPr>
          <w:rtl w:val="0"/>
        </w:rPr>
        <w:t xml:space="preserve"> para a </w:t>
      </w:r>
      <w:r w:rsidDel="00000000" w:rsidR="00000000" w:rsidRPr="00000000">
        <w:rPr>
          <w:b w:val="1"/>
          <w:rtl w:val="0"/>
        </w:rPr>
        <w:t xml:space="preserve">ENTREVISTA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A entrevista com a Comissão de heteroidentificação será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20 de junho de 2024, a partir das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14:00h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terceiro.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quarto. </w:t>
      </w:r>
      <w:r w:rsidDel="00000000" w:rsidR="00000000" w:rsidRPr="00000000">
        <w:rPr>
          <w:rtl w:val="0"/>
        </w:rPr>
        <w:t xml:space="preserve">A ordem de realização das entrevistas observará as prioridades legais e a ordem de chegada, devendo o(a) candidato(a) permanecer no local da entrevista até ser chamado(a), sob pena de eliminação.</w:t>
      </w:r>
    </w:p>
    <w:p w:rsidR="00000000" w:rsidDel="00000000" w:rsidP="00000000" w:rsidRDefault="00000000" w:rsidRPr="00000000" w14:paraId="0000000D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quinto.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4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17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17 de junho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-190496</wp:posOffset>
          </wp:positionV>
          <wp:extent cx="1062038" cy="875306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WSG5t0/tYqCCdBkis16GUSyjg==">CgMxLjA4AHIhMV96UmlRMm9fLW1naGZwNWdsSjVOdFR4ZVJ5VUQyN1p3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