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009/2024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por 06 (seis) meses o prazo de validade do </w:t>
      </w: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homologado em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before="240" w:line="240" w:lineRule="auto"/>
        <w:ind w:right="-5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- </w:t>
      </w:r>
      <w:r w:rsidDel="00000000" w:rsidR="00000000" w:rsidRPr="00000000">
        <w:rPr>
          <w:rtl w:val="0"/>
        </w:rPr>
        <w:t xml:space="preserve">O presente Edital será publicado 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769.212598425198"/>
        </w:tabs>
        <w:spacing w:line="276" w:lineRule="auto"/>
        <w:ind w:right="-12.401574803148492"/>
        <w:jc w:val="right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São Luís, 02 de outubro de 2024.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769.212598425198"/>
        </w:tabs>
        <w:spacing w:line="240" w:lineRule="auto"/>
        <w:ind w:right="-565.866141732282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80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 </w:t>
        <w:br w:type="textWrapping"/>
      </w:r>
      <w:r w:rsidDel="00000000" w:rsidR="00000000" w:rsidRPr="00000000">
        <w:rPr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09">
      <w:pPr>
        <w:spacing w:after="240" w:before="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71962" cy="809969"/>
          <wp:effectExtent b="0" l="0" r="0" 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962" cy="8099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AQnfzOIeBPIW0Abw1AivAAAPQ==">CgMxLjA4AHIhMUZONWxLQzNmVXVabjE0b1RSQTlVWjNrUXhabXVpeUlQ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