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004/2024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REPUBLICAR o RESULTADO PROVISÓRIO da etapa de ANÁLISE CURRICULAR</w:t>
      </w:r>
      <w:r w:rsidDel="00000000" w:rsidR="00000000" w:rsidRPr="00000000">
        <w:rPr>
          <w:sz w:val="22"/>
          <w:szCs w:val="22"/>
          <w:rtl w:val="0"/>
        </w:rPr>
        <w:t xml:space="preserve"> em face da constatação de erro na divulgação dos resultados, conforme listas anexas ao presente Edital.</w:t>
      </w:r>
    </w:p>
    <w:p w:rsidR="00000000" w:rsidDel="00000000" w:rsidP="00000000" w:rsidRDefault="00000000" w:rsidRPr="00000000" w14:paraId="00000009">
      <w:pPr>
        <w:widowControl w:val="0"/>
        <w:spacing w:before="200" w:lineRule="auto"/>
        <w:ind w:left="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REABRIR o prazo para interposição de recurso em face da Análise Curricular.</w:t>
      </w:r>
    </w:p>
    <w:p w:rsidR="00000000" w:rsidDel="00000000" w:rsidP="00000000" w:rsidRDefault="00000000" w:rsidRPr="00000000" w14:paraId="0000000A">
      <w:pPr>
        <w:widowControl w:val="0"/>
        <w:spacing w:before="20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Os recursos deverão ser interpostos eletronicamente do dia 01/02/2024 a 02/02/2024, através do formulário: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https://forms.gle/3adgkR842Kj7ry1v6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20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C">
      <w:pPr>
        <w:widowControl w:val="0"/>
        <w:spacing w:before="200" w:lineRule="auto"/>
        <w:ind w:left="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terceiro.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E">
      <w:pPr>
        <w:widowControl w:val="0"/>
        <w:spacing w:after="0" w:before="200" w:line="240" w:lineRule="auto"/>
        <w:ind w:left="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200" w:line="240" w:lineRule="auto"/>
        <w:ind w:left="56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01 de fevereiro de 2024.</w:t>
      </w:r>
    </w:p>
    <w:p w:rsidR="00000000" w:rsidDel="00000000" w:rsidP="00000000" w:rsidRDefault="00000000" w:rsidRPr="00000000" w14:paraId="00000010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1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1°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3adgkR842Kj7ry1v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aPgL3pnnG9HFkrCcn1p0vCTgg==">CgMxLjA4AHIhMUlndmF2dGdILU5GSTdRdlVsbFd6TENrN3N1VEZvbEVv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