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Rule="auto"/>
        <w:jc w:val="center"/>
        <w:rPr>
          <w:b w:val="1"/>
          <w:sz w:val="22"/>
          <w:szCs w:val="22"/>
        </w:rPr>
      </w:pPr>
      <w:r w:rsidDel="00000000" w:rsidR="00000000" w:rsidRPr="00000000">
        <w:rPr>
          <w:b w:val="1"/>
          <w:sz w:val="22"/>
          <w:szCs w:val="22"/>
          <w:rtl w:val="0"/>
        </w:rPr>
        <w:t xml:space="preserve">EDITAL 004/2024</w:t>
      </w:r>
    </w:p>
    <w:p w:rsidR="00000000" w:rsidDel="00000000" w:rsidP="00000000" w:rsidRDefault="00000000" w:rsidRPr="00000000" w14:paraId="00000002">
      <w:pPr>
        <w:spacing w:after="200" w:before="200" w:lineRule="auto"/>
        <w:jc w:val="center"/>
        <w:rPr>
          <w:b w:val="1"/>
          <w:sz w:val="22"/>
          <w:szCs w:val="22"/>
        </w:rPr>
      </w:pPr>
      <w:r w:rsidDel="00000000" w:rsidR="00000000" w:rsidRPr="00000000">
        <w:rPr>
          <w:b w:val="1"/>
          <w:sz w:val="22"/>
          <w:szCs w:val="22"/>
          <w:rtl w:val="0"/>
        </w:rPr>
        <w:t xml:space="preserve">V PROCESSO SELETIVO UNIFICADO PARA ESTÁGIO DE PÓS-GRADUAÇÃO DA DEFENSORIA PÚBLICA DO ESTADO DO MARANHÃO</w:t>
      </w:r>
    </w:p>
    <w:p w:rsidR="00000000" w:rsidDel="00000000" w:rsidP="00000000" w:rsidRDefault="00000000" w:rsidRPr="00000000" w14:paraId="00000003">
      <w:pPr>
        <w:spacing w:after="200" w:before="200" w:lineRule="auto"/>
        <w:rPr>
          <w:b w:val="1"/>
          <w:sz w:val="22"/>
          <w:szCs w:val="22"/>
        </w:rPr>
      </w:pPr>
      <w:r w:rsidDel="00000000" w:rsidR="00000000" w:rsidRPr="00000000">
        <w:rPr>
          <w:rtl w:val="0"/>
        </w:rPr>
      </w:r>
    </w:p>
    <w:p w:rsidR="00000000" w:rsidDel="00000000" w:rsidP="00000000" w:rsidRDefault="00000000" w:rsidRPr="00000000" w14:paraId="00000004">
      <w:pPr>
        <w:spacing w:after="200" w:before="200" w:lineRule="auto"/>
        <w:ind w:firstLine="720"/>
        <w:jc w:val="both"/>
        <w:rPr>
          <w:sz w:val="22"/>
          <w:szCs w:val="22"/>
        </w:rPr>
      </w:pPr>
      <w:r w:rsidDel="00000000" w:rsidR="00000000" w:rsidRPr="00000000">
        <w:rPr>
          <w:b w:val="1"/>
          <w:sz w:val="22"/>
          <w:szCs w:val="22"/>
          <w:rtl w:val="0"/>
        </w:rPr>
        <w:t xml:space="preserve">A 1ª SUBDEFENSORA PÚBLICA-GERAL DO ESTADO DO MARANHÃO</w:t>
      </w:r>
      <w:r w:rsidDel="00000000" w:rsidR="00000000" w:rsidRPr="00000000">
        <w:rPr>
          <w:sz w:val="22"/>
          <w:szCs w:val="22"/>
          <w:rtl w:val="0"/>
        </w:rPr>
        <w:t xml:space="preserve">, no uso de suas atribuições legais e tendo em vista o </w:t>
      </w:r>
      <w:r w:rsidDel="00000000" w:rsidR="00000000" w:rsidRPr="00000000">
        <w:rPr>
          <w:b w:val="1"/>
          <w:sz w:val="22"/>
          <w:szCs w:val="22"/>
          <w:rtl w:val="0"/>
        </w:rPr>
        <w:t xml:space="preserve">V PROCESSO SELETIVO UNIFICADO PARA ESTÁGIO DE PÓS-GRADUAÇÃO DA DEFENSORIA PÚBLICA DO ESTADO DO MARANHÃO</w:t>
      </w:r>
      <w:r w:rsidDel="00000000" w:rsidR="00000000" w:rsidRPr="00000000">
        <w:rPr>
          <w:sz w:val="22"/>
          <w:szCs w:val="22"/>
          <w:rtl w:val="0"/>
        </w:rPr>
        <w:t xml:space="preserve">, resolve:</w:t>
      </w:r>
    </w:p>
    <w:p w:rsidR="00000000" w:rsidDel="00000000" w:rsidP="00000000" w:rsidRDefault="00000000" w:rsidRPr="00000000" w14:paraId="00000005">
      <w:pPr>
        <w:widowControl w:val="0"/>
        <w:spacing w:before="179" w:lineRule="auto"/>
        <w:jc w:val="both"/>
        <w:rPr>
          <w:b w:val="1"/>
          <w:sz w:val="22"/>
          <w:szCs w:val="22"/>
        </w:rPr>
      </w:pPr>
      <w:r w:rsidDel="00000000" w:rsidR="00000000" w:rsidRPr="00000000">
        <w:rPr>
          <w:b w:val="1"/>
          <w:sz w:val="22"/>
          <w:szCs w:val="22"/>
          <w:rtl w:val="0"/>
        </w:rPr>
        <w:t xml:space="preserve">Art. 1º. DIVULGAR</w:t>
      </w:r>
      <w:r w:rsidDel="00000000" w:rsidR="00000000" w:rsidRPr="00000000">
        <w:rPr>
          <w:sz w:val="22"/>
          <w:szCs w:val="22"/>
          <w:rtl w:val="0"/>
        </w:rPr>
        <w:t xml:space="preserve"> a </w:t>
      </w:r>
      <w:r w:rsidDel="00000000" w:rsidR="00000000" w:rsidRPr="00000000">
        <w:rPr>
          <w:b w:val="1"/>
          <w:sz w:val="22"/>
          <w:szCs w:val="22"/>
          <w:rtl w:val="0"/>
        </w:rPr>
        <w:t xml:space="preserve">LISTA DE CLASSIFICAÇÃO PROVISÓRIA</w:t>
      </w:r>
      <w:r w:rsidDel="00000000" w:rsidR="00000000" w:rsidRPr="00000000">
        <w:rPr>
          <w:sz w:val="22"/>
          <w:szCs w:val="22"/>
          <w:rtl w:val="0"/>
        </w:rPr>
        <w:t xml:space="preserve">, conforme </w:t>
      </w:r>
      <w:r w:rsidDel="00000000" w:rsidR="00000000" w:rsidRPr="00000000">
        <w:rPr>
          <w:b w:val="1"/>
          <w:sz w:val="22"/>
          <w:szCs w:val="22"/>
          <w:rtl w:val="0"/>
        </w:rPr>
        <w:t xml:space="preserve">listas anexas.</w:t>
      </w:r>
    </w:p>
    <w:p w:rsidR="00000000" w:rsidDel="00000000" w:rsidP="00000000" w:rsidRDefault="00000000" w:rsidRPr="00000000" w14:paraId="00000006">
      <w:pPr>
        <w:tabs>
          <w:tab w:val="center" w:leader="none" w:pos="4252"/>
          <w:tab w:val="right" w:leader="none" w:pos="8504"/>
        </w:tabs>
        <w:spacing w:after="200" w:before="200" w:lineRule="auto"/>
        <w:ind w:right="-295.8661417322827"/>
        <w:jc w:val="both"/>
        <w:rPr/>
      </w:pPr>
      <w:r w:rsidDel="00000000" w:rsidR="00000000" w:rsidRPr="00000000">
        <w:rPr>
          <w:b w:val="1"/>
          <w:sz w:val="22"/>
          <w:szCs w:val="22"/>
          <w:rtl w:val="0"/>
        </w:rPr>
        <w:t xml:space="preserve">Art. 2.º INFORMAR </w:t>
      </w:r>
      <w:r w:rsidDel="00000000" w:rsidR="00000000" w:rsidRPr="00000000">
        <w:rPr>
          <w:sz w:val="22"/>
          <w:szCs w:val="22"/>
          <w:rtl w:val="0"/>
        </w:rPr>
        <w:t xml:space="preserve">que o caderno de prova e gabarito provisório estão disponíveis na área do candidato/a no sistema de prova online, na aba resultado, através do link: </w:t>
      </w:r>
      <w:hyperlink r:id="rId7">
        <w:r w:rsidDel="00000000" w:rsidR="00000000" w:rsidRPr="00000000">
          <w:rPr>
            <w:b w:val="1"/>
            <w:sz w:val="22"/>
            <w:szCs w:val="22"/>
            <w:u w:val="single"/>
            <w:rtl w:val="0"/>
          </w:rPr>
          <w:t xml:space="preserve">https://defensoria.ma.def.br/prova-online/</w:t>
        </w:r>
      </w:hyperlink>
      <w:r w:rsidDel="00000000" w:rsidR="00000000" w:rsidRPr="00000000">
        <w:rPr>
          <w:rtl w:val="0"/>
        </w:rPr>
        <w:t xml:space="preserve"> . </w:t>
      </w:r>
    </w:p>
    <w:p w:rsidR="00000000" w:rsidDel="00000000" w:rsidP="00000000" w:rsidRDefault="00000000" w:rsidRPr="00000000" w14:paraId="00000007">
      <w:pPr>
        <w:widowControl w:val="0"/>
        <w:jc w:val="both"/>
        <w:rPr>
          <w:b w:val="1"/>
          <w:sz w:val="22"/>
          <w:szCs w:val="22"/>
        </w:rPr>
      </w:pPr>
      <w:r w:rsidDel="00000000" w:rsidR="00000000" w:rsidRPr="00000000">
        <w:rPr>
          <w:b w:val="1"/>
          <w:sz w:val="22"/>
          <w:szCs w:val="22"/>
          <w:rtl w:val="0"/>
        </w:rPr>
        <w:t xml:space="preserve">Art. 3º DIVULGAR </w:t>
      </w:r>
      <w:r w:rsidDel="00000000" w:rsidR="00000000" w:rsidRPr="00000000">
        <w:rPr>
          <w:sz w:val="22"/>
          <w:szCs w:val="22"/>
          <w:rtl w:val="0"/>
        </w:rPr>
        <w:t xml:space="preserve">o </w:t>
      </w:r>
      <w:r w:rsidDel="00000000" w:rsidR="00000000" w:rsidRPr="00000000">
        <w:rPr>
          <w:b w:val="1"/>
          <w:sz w:val="22"/>
          <w:szCs w:val="22"/>
          <w:rtl w:val="0"/>
        </w:rPr>
        <w:t xml:space="preserve">ESPELHO DE CORREÇÃO DA QUESTÃO DISSERTATIVA da PROVA DE PÓS-GRADUAÇÃO EM DIREITO</w:t>
      </w:r>
      <w:r w:rsidDel="00000000" w:rsidR="00000000" w:rsidRPr="00000000">
        <w:rPr>
          <w:sz w:val="22"/>
          <w:szCs w:val="22"/>
          <w:rtl w:val="0"/>
        </w:rPr>
        <w:t xml:space="preserve">, conforme </w:t>
      </w:r>
      <w:r w:rsidDel="00000000" w:rsidR="00000000" w:rsidRPr="00000000">
        <w:rPr>
          <w:b w:val="1"/>
          <w:sz w:val="22"/>
          <w:szCs w:val="22"/>
          <w:rtl w:val="0"/>
        </w:rPr>
        <w:t xml:space="preserve">ANEXO I, </w:t>
      </w:r>
      <w:r w:rsidDel="00000000" w:rsidR="00000000" w:rsidRPr="00000000">
        <w:rPr>
          <w:sz w:val="22"/>
          <w:szCs w:val="22"/>
          <w:rtl w:val="0"/>
        </w:rPr>
        <w:t xml:space="preserve">do presente edital.</w:t>
      </w:r>
      <w:r w:rsidDel="00000000" w:rsidR="00000000" w:rsidRPr="00000000">
        <w:rPr>
          <w:rtl w:val="0"/>
        </w:rPr>
      </w:r>
    </w:p>
    <w:p w:rsidR="00000000" w:rsidDel="00000000" w:rsidP="00000000" w:rsidRDefault="00000000" w:rsidRPr="00000000" w14:paraId="00000008">
      <w:pPr>
        <w:widowControl w:val="0"/>
        <w:jc w:val="both"/>
        <w:rPr>
          <w:b w:val="1"/>
          <w:sz w:val="22"/>
          <w:szCs w:val="22"/>
        </w:rPr>
      </w:pPr>
      <w:r w:rsidDel="00000000" w:rsidR="00000000" w:rsidRPr="00000000">
        <w:rPr>
          <w:rtl w:val="0"/>
        </w:rPr>
      </w:r>
    </w:p>
    <w:p w:rsidR="00000000" w:rsidDel="00000000" w:rsidP="00000000" w:rsidRDefault="00000000" w:rsidRPr="00000000" w14:paraId="00000009">
      <w:pPr>
        <w:widowControl w:val="0"/>
        <w:jc w:val="both"/>
        <w:rPr>
          <w:sz w:val="22"/>
          <w:szCs w:val="22"/>
        </w:rPr>
      </w:pPr>
      <w:r w:rsidDel="00000000" w:rsidR="00000000" w:rsidRPr="00000000">
        <w:rPr>
          <w:b w:val="1"/>
          <w:sz w:val="22"/>
          <w:szCs w:val="22"/>
          <w:rtl w:val="0"/>
        </w:rPr>
        <w:t xml:space="preserve">Art. 4º INFORMAR </w:t>
      </w:r>
      <w:r w:rsidDel="00000000" w:rsidR="00000000" w:rsidRPr="00000000">
        <w:rPr>
          <w:sz w:val="22"/>
          <w:szCs w:val="22"/>
          <w:rtl w:val="0"/>
        </w:rPr>
        <w:t xml:space="preserve">que os recursos em face das questões objetivas e dissertativa deverão ser interpostos eletronicamente nos dias 15  e 16 de janeiro unicamente através do formulário acessível no endereço </w:t>
      </w:r>
      <w:hyperlink r:id="rId8">
        <w:r w:rsidDel="00000000" w:rsidR="00000000" w:rsidRPr="00000000">
          <w:rPr>
            <w:color w:val="1155cc"/>
            <w:sz w:val="22"/>
            <w:szCs w:val="22"/>
            <w:u w:val="single"/>
            <w:rtl w:val="0"/>
          </w:rPr>
          <w:t xml:space="preserve">https://forms.gle/vYZNyizxX3iZ4NxT6</w:t>
        </w:r>
      </w:hyperlink>
      <w:r w:rsidDel="00000000" w:rsidR="00000000" w:rsidRPr="00000000">
        <w:rPr>
          <w:sz w:val="22"/>
          <w:szCs w:val="22"/>
          <w:rtl w:val="0"/>
        </w:rPr>
        <w:t xml:space="preserve">.</w:t>
      </w:r>
    </w:p>
    <w:p w:rsidR="00000000" w:rsidDel="00000000" w:rsidP="00000000" w:rsidRDefault="00000000" w:rsidRPr="00000000" w14:paraId="0000000A">
      <w:pPr>
        <w:widowControl w:val="0"/>
        <w:jc w:val="both"/>
        <w:rPr>
          <w:sz w:val="22"/>
          <w:szCs w:val="22"/>
        </w:rPr>
      </w:pPr>
      <w:r w:rsidDel="00000000" w:rsidR="00000000" w:rsidRPr="00000000">
        <w:rPr>
          <w:rtl w:val="0"/>
        </w:rPr>
      </w:r>
    </w:p>
    <w:p w:rsidR="00000000" w:rsidDel="00000000" w:rsidP="00000000" w:rsidRDefault="00000000" w:rsidRPr="00000000" w14:paraId="0000000B">
      <w:pPr>
        <w:widowControl w:val="0"/>
        <w:jc w:val="both"/>
        <w:rPr>
          <w:sz w:val="22"/>
          <w:szCs w:val="22"/>
        </w:rPr>
      </w:pPr>
      <w:r w:rsidDel="00000000" w:rsidR="00000000" w:rsidRPr="00000000">
        <w:rPr>
          <w:sz w:val="22"/>
          <w:szCs w:val="22"/>
          <w:rtl w:val="0"/>
        </w:rPr>
        <w:t xml:space="preserve">Parágrafo primeiro. Não serão aceitos recursos encaminhados por qualquer outra forma, devendo ser digitados e fundamentados em argumentação lógica e consistente.</w:t>
      </w:r>
    </w:p>
    <w:p w:rsidR="00000000" w:rsidDel="00000000" w:rsidP="00000000" w:rsidRDefault="00000000" w:rsidRPr="00000000" w14:paraId="0000000C">
      <w:pPr>
        <w:widowControl w:val="0"/>
        <w:jc w:val="both"/>
        <w:rPr>
          <w:sz w:val="22"/>
          <w:szCs w:val="22"/>
        </w:rPr>
      </w:pPr>
      <w:r w:rsidDel="00000000" w:rsidR="00000000" w:rsidRPr="00000000">
        <w:rPr>
          <w:rtl w:val="0"/>
        </w:rPr>
      </w:r>
    </w:p>
    <w:p w:rsidR="00000000" w:rsidDel="00000000" w:rsidP="00000000" w:rsidRDefault="00000000" w:rsidRPr="00000000" w14:paraId="0000000D">
      <w:pPr>
        <w:widowControl w:val="0"/>
        <w:jc w:val="both"/>
        <w:rPr>
          <w:sz w:val="22"/>
          <w:szCs w:val="22"/>
        </w:rPr>
      </w:pPr>
      <w:r w:rsidDel="00000000" w:rsidR="00000000" w:rsidRPr="00000000">
        <w:rPr>
          <w:sz w:val="22"/>
          <w:szCs w:val="22"/>
          <w:rtl w:val="0"/>
        </w:rPr>
        <w:t xml:space="preserve">Parágrafo segundo. Recursos não fundamentados ou interpostos fora do prazo serão indeferidos.</w:t>
      </w:r>
    </w:p>
    <w:p w:rsidR="00000000" w:rsidDel="00000000" w:rsidP="00000000" w:rsidRDefault="00000000" w:rsidRPr="00000000" w14:paraId="0000000E">
      <w:pPr>
        <w:widowControl w:val="0"/>
        <w:jc w:val="both"/>
        <w:rPr>
          <w:sz w:val="22"/>
          <w:szCs w:val="22"/>
        </w:rPr>
      </w:pPr>
      <w:r w:rsidDel="00000000" w:rsidR="00000000" w:rsidRPr="00000000">
        <w:rPr>
          <w:rtl w:val="0"/>
        </w:rPr>
      </w:r>
    </w:p>
    <w:p w:rsidR="00000000" w:rsidDel="00000000" w:rsidP="00000000" w:rsidRDefault="00000000" w:rsidRPr="00000000" w14:paraId="0000000F">
      <w:pPr>
        <w:widowControl w:val="0"/>
        <w:jc w:val="both"/>
        <w:rPr>
          <w:b w:val="1"/>
          <w:sz w:val="22"/>
          <w:szCs w:val="22"/>
        </w:rPr>
      </w:pPr>
      <w:r w:rsidDel="00000000" w:rsidR="00000000" w:rsidRPr="00000000">
        <w:rPr>
          <w:b w:val="1"/>
          <w:sz w:val="22"/>
          <w:szCs w:val="22"/>
          <w:rtl w:val="0"/>
        </w:rPr>
        <w:t xml:space="preserve">Art. 6º </w:t>
      </w:r>
      <w:r w:rsidDel="00000000" w:rsidR="00000000" w:rsidRPr="00000000">
        <w:rPr>
          <w:sz w:val="22"/>
          <w:szCs w:val="22"/>
          <w:rtl w:val="0"/>
        </w:rPr>
        <w:t xml:space="preserve">O presente Edital será </w:t>
      </w:r>
      <w:r w:rsidDel="00000000" w:rsidR="00000000" w:rsidRPr="00000000">
        <w:rPr>
          <w:b w:val="1"/>
          <w:sz w:val="22"/>
          <w:szCs w:val="22"/>
          <w:rtl w:val="0"/>
        </w:rPr>
        <w:t xml:space="preserve">PUBLICADO </w:t>
      </w:r>
      <w:r w:rsidDel="00000000" w:rsidR="00000000" w:rsidRPr="00000000">
        <w:rPr>
          <w:sz w:val="22"/>
          <w:szCs w:val="22"/>
          <w:rtl w:val="0"/>
        </w:rPr>
        <w:t xml:space="preserve">no site da DPE/MA.</w:t>
      </w:r>
      <w:r w:rsidDel="00000000" w:rsidR="00000000" w:rsidRPr="00000000">
        <w:rPr>
          <w:rtl w:val="0"/>
        </w:rPr>
      </w:r>
    </w:p>
    <w:p w:rsidR="00000000" w:rsidDel="00000000" w:rsidP="00000000" w:rsidRDefault="00000000" w:rsidRPr="00000000" w14:paraId="00000010">
      <w:pPr>
        <w:tabs>
          <w:tab w:val="center" w:leader="none" w:pos="4252"/>
          <w:tab w:val="right" w:leader="none" w:pos="8769.212598425198"/>
        </w:tabs>
        <w:spacing w:after="200" w:before="200" w:lineRule="auto"/>
        <w:ind w:right="-282.4015748031485"/>
        <w:jc w:val="right"/>
        <w:rPr>
          <w:b w:val="1"/>
          <w:sz w:val="22"/>
          <w:szCs w:val="22"/>
        </w:rPr>
      </w:pPr>
      <w:r w:rsidDel="00000000" w:rsidR="00000000" w:rsidRPr="00000000">
        <w:rPr>
          <w:sz w:val="22"/>
          <w:szCs w:val="22"/>
          <w:rtl w:val="0"/>
        </w:rPr>
        <w:t xml:space="preserve"> </w:t>
        <w:tab/>
        <w:tab/>
        <w:tab/>
        <w:t xml:space="preserve">São Luís, 15 de janeiro de 2024.</w:t>
      </w:r>
      <w:r w:rsidDel="00000000" w:rsidR="00000000" w:rsidRPr="00000000">
        <w:rPr>
          <w:rtl w:val="0"/>
        </w:rPr>
      </w:r>
    </w:p>
    <w:p w:rsidR="00000000" w:rsidDel="00000000" w:rsidP="00000000" w:rsidRDefault="00000000" w:rsidRPr="00000000" w14:paraId="00000011">
      <w:pPr>
        <w:tabs>
          <w:tab w:val="center" w:leader="none" w:pos="4252"/>
          <w:tab w:val="right" w:leader="none" w:pos="8504"/>
        </w:tabs>
        <w:spacing w:after="200" w:before="200" w:lineRule="auto"/>
        <w:jc w:val="center"/>
        <w:rPr>
          <w:sz w:val="22"/>
          <w:szCs w:val="22"/>
        </w:rPr>
      </w:pPr>
      <w:r w:rsidDel="00000000" w:rsidR="00000000" w:rsidRPr="00000000">
        <w:rPr>
          <w:rtl w:val="0"/>
        </w:rPr>
      </w:r>
    </w:p>
    <w:p w:rsidR="00000000" w:rsidDel="00000000" w:rsidP="00000000" w:rsidRDefault="00000000" w:rsidRPr="00000000" w14:paraId="00000012">
      <w:pPr>
        <w:jc w:val="center"/>
        <w:rPr>
          <w:b w:val="1"/>
          <w:sz w:val="30"/>
          <w:szCs w:val="30"/>
        </w:rPr>
      </w:pPr>
      <w:r w:rsidDel="00000000" w:rsidR="00000000" w:rsidRPr="00000000">
        <w:rPr>
          <w:b w:val="1"/>
          <w:sz w:val="22"/>
          <w:szCs w:val="22"/>
          <w:rtl w:val="0"/>
        </w:rPr>
        <w:t xml:space="preserve">CRISTIANE MARQUES MENDES</w:t>
        <w:br w:type="textWrapping"/>
      </w:r>
      <w:r w:rsidDel="00000000" w:rsidR="00000000" w:rsidRPr="00000000">
        <w:rPr>
          <w:sz w:val="22"/>
          <w:szCs w:val="22"/>
          <w:rtl w:val="0"/>
        </w:rPr>
        <w:t xml:space="preserve">1º Subdefensora Pública-Geral do Estado do Maranhão</w:t>
      </w:r>
      <w:r w:rsidDel="00000000" w:rsidR="00000000" w:rsidRPr="00000000">
        <w:br w:type="page"/>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2"/>
          <w:szCs w:val="22"/>
        </w:rPr>
      </w:pPr>
      <w:r w:rsidDel="00000000" w:rsidR="00000000" w:rsidRPr="00000000">
        <w:rPr>
          <w:b w:val="1"/>
          <w:sz w:val="22"/>
          <w:szCs w:val="22"/>
          <w:rtl w:val="0"/>
        </w:rPr>
        <w:t xml:space="preserve">ANEXO I</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2"/>
          <w:szCs w:val="22"/>
        </w:rPr>
      </w:pPr>
      <w:r w:rsidDel="00000000" w:rsidR="00000000" w:rsidRPr="00000000">
        <w:rPr>
          <w:b w:val="1"/>
          <w:sz w:val="22"/>
          <w:szCs w:val="22"/>
          <w:rtl w:val="0"/>
        </w:rPr>
        <w:t xml:space="preserve">ESPELHO DE CORREÇÃO QUESTÃO DISSERTATIVA PÓS-GRADUAÇÃO DIREITO</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7">
      <w:pPr>
        <w:spacing w:line="276" w:lineRule="auto"/>
        <w:jc w:val="both"/>
        <w:rPr>
          <w:sz w:val="22"/>
          <w:szCs w:val="22"/>
        </w:rPr>
      </w:pPr>
      <w:r w:rsidDel="00000000" w:rsidR="00000000" w:rsidRPr="00000000">
        <w:rPr>
          <w:sz w:val="22"/>
          <w:szCs w:val="22"/>
          <w:rtl w:val="0"/>
        </w:rPr>
        <w:t xml:space="preserve">Enunciado da questão: O Ministério Público Estadual ofereceu denúncia contra DANIEL aduzindo, em síntese, que no dia 08 de agosto de 2022 este teria praticado o crime previsto no artigo 33 da Lei n.° 11.343/2006.</w:t>
      </w:r>
    </w:p>
    <w:p w:rsidR="00000000" w:rsidDel="00000000" w:rsidP="00000000" w:rsidRDefault="00000000" w:rsidRPr="00000000" w14:paraId="00000018">
      <w:pPr>
        <w:spacing w:line="276" w:lineRule="auto"/>
        <w:jc w:val="both"/>
        <w:rPr>
          <w:sz w:val="22"/>
          <w:szCs w:val="22"/>
        </w:rPr>
      </w:pPr>
      <w:r w:rsidDel="00000000" w:rsidR="00000000" w:rsidRPr="00000000">
        <w:rPr>
          <w:sz w:val="22"/>
          <w:szCs w:val="22"/>
          <w:rtl w:val="0"/>
        </w:rPr>
        <w:t xml:space="preserve">Regularmente notificada, a parte acusada apresentou defesa prévia, sendo a denúncia recebida. Devidamente citado, foi realizada audiência de instrução e julgamento no dia 01 de novembro de 2023, oportunidade em que foram inquiridas as testemunhas, além de realizado o interrogatório do acusado.</w:t>
      </w:r>
    </w:p>
    <w:p w:rsidR="00000000" w:rsidDel="00000000" w:rsidP="00000000" w:rsidRDefault="00000000" w:rsidRPr="00000000" w14:paraId="00000019">
      <w:pPr>
        <w:spacing w:line="276" w:lineRule="auto"/>
        <w:jc w:val="both"/>
        <w:rPr>
          <w:sz w:val="22"/>
          <w:szCs w:val="22"/>
        </w:rPr>
      </w:pPr>
      <w:r w:rsidDel="00000000" w:rsidR="00000000" w:rsidRPr="00000000">
        <w:rPr>
          <w:sz w:val="22"/>
          <w:szCs w:val="22"/>
          <w:rtl w:val="0"/>
        </w:rPr>
        <w:t xml:space="preserve">De acordo com as testemunhas de acusação, foram recebidas, através do WhatsApp da guarnição, denúncias anônimas de que DANIEL estaria vendendo crack no bairro. As testemunhas declararam ainda que, no dia da prisão em flagrante, DANIEL estaria encostado no muro de um terreno baldio próximo a sua residência. Ao se aproximarem, Daniel teria ficado nervoso, tentando se evadir do local. Em razão disso, procederam à abordagem, tendo sido apreendido com ele a quantia de R$ 30,00 (trinta) reais. Além disso, no terreno baldio, foi encontrada uma sacola contendo 10 (dez) trouxinhas de maconha.</w:t>
      </w:r>
    </w:p>
    <w:p w:rsidR="00000000" w:rsidDel="00000000" w:rsidP="00000000" w:rsidRDefault="00000000" w:rsidRPr="00000000" w14:paraId="0000001A">
      <w:pPr>
        <w:spacing w:line="276" w:lineRule="auto"/>
        <w:jc w:val="both"/>
        <w:rPr>
          <w:sz w:val="22"/>
          <w:szCs w:val="22"/>
        </w:rPr>
      </w:pPr>
      <w:r w:rsidDel="00000000" w:rsidR="00000000" w:rsidRPr="00000000">
        <w:rPr>
          <w:sz w:val="22"/>
          <w:szCs w:val="22"/>
          <w:rtl w:val="0"/>
        </w:rPr>
        <w:t xml:space="preserve">Apreendido o material ilícito, DANIEL foi preso em flagrante pela prática do ilícito previsto no art. 33 da Lei n.° 11.343/2006.</w:t>
      </w:r>
    </w:p>
    <w:p w:rsidR="00000000" w:rsidDel="00000000" w:rsidP="00000000" w:rsidRDefault="00000000" w:rsidRPr="00000000" w14:paraId="0000001B">
      <w:pPr>
        <w:spacing w:line="276" w:lineRule="auto"/>
        <w:jc w:val="both"/>
        <w:rPr>
          <w:sz w:val="22"/>
          <w:szCs w:val="22"/>
        </w:rPr>
      </w:pPr>
      <w:r w:rsidDel="00000000" w:rsidR="00000000" w:rsidRPr="00000000">
        <w:rPr>
          <w:sz w:val="22"/>
          <w:szCs w:val="22"/>
          <w:rtl w:val="0"/>
        </w:rPr>
        <w:t xml:space="preserve">Em seu depoimento, DANIEL, que não possui antecedentes criminais, negou a prática do crime, afirmando que a droga não era de sua propriedade e que estava no local apenas conversando com amigos.</w:t>
      </w:r>
    </w:p>
    <w:p w:rsidR="00000000" w:rsidDel="00000000" w:rsidP="00000000" w:rsidRDefault="00000000" w:rsidRPr="00000000" w14:paraId="0000001C">
      <w:pPr>
        <w:spacing w:line="276" w:lineRule="auto"/>
        <w:jc w:val="both"/>
        <w:rPr>
          <w:sz w:val="22"/>
          <w:szCs w:val="22"/>
        </w:rPr>
      </w:pPr>
      <w:r w:rsidDel="00000000" w:rsidR="00000000" w:rsidRPr="00000000">
        <w:rPr>
          <w:sz w:val="22"/>
          <w:szCs w:val="22"/>
          <w:rtl w:val="0"/>
        </w:rPr>
        <w:t xml:space="preserve">Em sua manifestação, o Ministério Público pugnou pela condenação do acusado nos termos da denúncia. </w:t>
      </w:r>
    </w:p>
    <w:p w:rsidR="00000000" w:rsidDel="00000000" w:rsidP="00000000" w:rsidRDefault="00000000" w:rsidRPr="00000000" w14:paraId="0000001D">
      <w:pPr>
        <w:spacing w:line="276" w:lineRule="auto"/>
        <w:jc w:val="both"/>
        <w:rPr>
          <w:sz w:val="22"/>
          <w:szCs w:val="22"/>
        </w:rPr>
      </w:pPr>
      <w:r w:rsidDel="00000000" w:rsidR="00000000" w:rsidRPr="00000000">
        <w:rPr>
          <w:sz w:val="22"/>
          <w:szCs w:val="22"/>
          <w:rtl w:val="0"/>
        </w:rPr>
        <w:t xml:space="preserve">Os autos foram, então, remetidos à Defensoria Pública do Estado do Maranhão no dia 30 de novembro de 2023.</w:t>
      </w:r>
    </w:p>
    <w:p w:rsidR="00000000" w:rsidDel="00000000" w:rsidP="00000000" w:rsidRDefault="00000000" w:rsidRPr="00000000" w14:paraId="0000001E">
      <w:pPr>
        <w:spacing w:line="276" w:lineRule="auto"/>
        <w:rPr>
          <w:sz w:val="22"/>
          <w:szCs w:val="22"/>
        </w:rPr>
      </w:pPr>
      <w:r w:rsidDel="00000000" w:rsidR="00000000" w:rsidRPr="00000000">
        <w:rPr>
          <w:sz w:val="22"/>
          <w:szCs w:val="22"/>
          <w:rtl w:val="0"/>
        </w:rPr>
        <w:t xml:space="preserve">Diante da situação apresentada, confeccione a peça processual adequada, considerando a data de protocolo o último dia do prazo.</w:t>
      </w:r>
    </w:p>
    <w:p w:rsidR="00000000" w:rsidDel="00000000" w:rsidP="00000000" w:rsidRDefault="00000000" w:rsidRPr="00000000" w14:paraId="0000001F">
      <w:pPr>
        <w:spacing w:line="276" w:lineRule="auto"/>
        <w:jc w:val="both"/>
        <w:rPr>
          <w:color w:val="ff0000"/>
          <w:sz w:val="22"/>
          <w:szCs w:val="22"/>
        </w:rPr>
      </w:pPr>
      <w:r w:rsidDel="00000000" w:rsidR="00000000" w:rsidRPr="00000000">
        <w:rPr>
          <w:rtl w:val="0"/>
        </w:rPr>
      </w:r>
    </w:p>
    <w:p w:rsidR="00000000" w:rsidDel="00000000" w:rsidP="00000000" w:rsidRDefault="00000000" w:rsidRPr="00000000" w14:paraId="00000020">
      <w:pPr>
        <w:spacing w:line="276" w:lineRule="auto"/>
        <w:rPr>
          <w:sz w:val="22"/>
          <w:szCs w:val="22"/>
        </w:rPr>
      </w:pPr>
      <w:r w:rsidDel="00000000" w:rsidR="00000000" w:rsidRPr="00000000">
        <w:rPr>
          <w:rtl w:val="0"/>
        </w:rPr>
      </w:r>
    </w:p>
    <w:tbl>
      <w:tblPr>
        <w:tblStyle w:val="Table1"/>
        <w:tblW w:w="9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4740"/>
        <w:gridCol w:w="1155"/>
        <w:tblGridChange w:id="0">
          <w:tblGrid>
            <w:gridCol w:w="3600"/>
            <w:gridCol w:w="4740"/>
            <w:gridCol w:w="1155"/>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21">
            <w:pPr>
              <w:spacing w:line="276" w:lineRule="auto"/>
              <w:jc w:val="center"/>
              <w:rPr>
                <w:b w:val="1"/>
              </w:rPr>
            </w:pPr>
            <w:r w:rsidDel="00000000" w:rsidR="00000000" w:rsidRPr="00000000">
              <w:rPr>
                <w:b w:val="1"/>
                <w:rtl w:val="0"/>
              </w:rPr>
              <w:t xml:space="preserve">CRITÉRIOS DE CORREÇÃO</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22">
            <w:pPr>
              <w:spacing w:line="276" w:lineRule="auto"/>
              <w:jc w:val="center"/>
              <w:rPr>
                <w:b w:val="1"/>
              </w:rPr>
            </w:pPr>
            <w:r w:rsidDel="00000000" w:rsidR="00000000" w:rsidRPr="00000000">
              <w:rPr>
                <w:b w:val="1"/>
                <w:rtl w:val="0"/>
              </w:rPr>
              <w:t xml:space="preserve">ESPELHO</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23">
            <w:pPr>
              <w:spacing w:line="276" w:lineRule="auto"/>
              <w:jc w:val="center"/>
              <w:rPr>
                <w:b w:val="1"/>
              </w:rPr>
            </w:pPr>
            <w:r w:rsidDel="00000000" w:rsidR="00000000" w:rsidRPr="00000000">
              <w:rPr>
                <w:b w:val="1"/>
                <w:rtl w:val="0"/>
              </w:rPr>
              <w:t xml:space="preserve">PONT. MÁXIMA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line="276" w:lineRule="auto"/>
              <w:jc w:val="both"/>
              <w:rPr/>
            </w:pPr>
            <w:r w:rsidDel="00000000" w:rsidR="00000000" w:rsidRPr="00000000">
              <w:rPr>
                <w:rtl w:val="0"/>
              </w:rPr>
              <w:t xml:space="preserve">Uso correto do vernáculo, concatenação de ideias, coesão e coerência na escrita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line="276" w:lineRule="auto"/>
              <w:jc w:val="cente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spacing w:line="276" w:lineRule="auto"/>
              <w:rPr/>
            </w:pPr>
            <w:r w:rsidDel="00000000" w:rsidR="00000000" w:rsidRPr="00000000">
              <w:rPr>
                <w:rtl w:val="0"/>
              </w:rPr>
              <w:t xml:space="preserve">4,0pt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spacing w:line="276" w:lineRule="auto"/>
              <w:rPr/>
            </w:pPr>
            <w:r w:rsidDel="00000000" w:rsidR="00000000" w:rsidRPr="00000000">
              <w:rPr>
                <w:rtl w:val="0"/>
              </w:rPr>
              <w:t xml:space="preserve">Identificação do nome da peça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line="276" w:lineRule="auto"/>
              <w:rPr/>
            </w:pPr>
            <w:r w:rsidDel="00000000" w:rsidR="00000000" w:rsidRPr="00000000">
              <w:rPr>
                <w:rtl w:val="0"/>
              </w:rPr>
              <w:t xml:space="preserve">ALEGAÇÕES FINAIS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line="276" w:lineRule="auto"/>
              <w:rPr/>
            </w:pPr>
            <w:r w:rsidDel="00000000" w:rsidR="00000000" w:rsidRPr="00000000">
              <w:rPr>
                <w:rtl w:val="0"/>
              </w:rPr>
              <w:t xml:space="preserve">1,0pt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line="276" w:lineRule="auto"/>
              <w:rPr/>
            </w:pPr>
            <w:r w:rsidDel="00000000" w:rsidR="00000000" w:rsidRPr="00000000">
              <w:rPr>
                <w:rtl w:val="0"/>
              </w:rPr>
              <w:t xml:space="preserve">Indicação do juízo competente, Identificação das partes e resumo dos fatos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200" w:line="360" w:lineRule="auto"/>
              <w:jc w:val="both"/>
              <w:rPr/>
            </w:pPr>
            <w:r w:rsidDel="00000000" w:rsidR="00000000" w:rsidRPr="00000000">
              <w:rPr>
                <w:rtl w:val="0"/>
              </w:rPr>
              <w:t xml:space="preserve">EXCELENTÍSSIMO JUIZ DE DIREITO DA ___ VARA DE ENTORPECENTES DO TERMO JUDICIÁRIO DE SÃO LUÍS DA COMARCA DA GRANDE ILHA DO ESTADO DO MARANHÃO</w:t>
            </w:r>
          </w:p>
          <w:p w:rsidR="00000000" w:rsidDel="00000000" w:rsidP="00000000" w:rsidRDefault="00000000" w:rsidRPr="00000000" w14:paraId="0000002C">
            <w:pPr>
              <w:widowControl w:val="0"/>
              <w:spacing w:after="200" w:line="360" w:lineRule="auto"/>
              <w:jc w:val="both"/>
              <w:rPr/>
            </w:pPr>
            <w:r w:rsidDel="00000000" w:rsidR="00000000" w:rsidRPr="00000000">
              <w:rPr>
                <w:rtl w:val="0"/>
              </w:rPr>
              <w:t xml:space="preserve">Pólo passivo: DANIEL, devidamente qualificado nos autos Pólo ativo: MINISTÉRIO PÚBLICO DO ESTADO DO MARANHÃO</w:t>
            </w:r>
          </w:p>
          <w:p w:rsidR="00000000" w:rsidDel="00000000" w:rsidP="00000000" w:rsidRDefault="00000000" w:rsidRPr="00000000" w14:paraId="0000002D">
            <w:pPr>
              <w:widowControl w:val="0"/>
              <w:spacing w:after="200" w:line="360" w:lineRule="auto"/>
              <w:jc w:val="both"/>
              <w:rPr/>
            </w:pPr>
            <w:r w:rsidDel="00000000" w:rsidR="00000000" w:rsidRPr="00000000">
              <w:rPr>
                <w:rtl w:val="0"/>
              </w:rPr>
              <w:t xml:space="preserve">DOS FATOS: (RESUMO)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line="276" w:lineRule="auto"/>
              <w:rPr/>
            </w:pPr>
            <w:r w:rsidDel="00000000" w:rsidR="00000000" w:rsidRPr="00000000">
              <w:rPr>
                <w:rtl w:val="0"/>
              </w:rPr>
              <w:t xml:space="preserve">0,5pt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276" w:lineRule="auto"/>
              <w:rPr/>
            </w:pPr>
            <w:r w:rsidDel="00000000" w:rsidR="00000000" w:rsidRPr="00000000">
              <w:rPr>
                <w:rtl w:val="0"/>
              </w:rPr>
              <w:t xml:space="preserve">Identificação dos fundamentos jurídicos e/ou outros requisitos específicos, com dispositivos legais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numPr>
                <w:ilvl w:val="0"/>
                <w:numId w:val="1"/>
              </w:numPr>
              <w:spacing w:line="276" w:lineRule="auto"/>
              <w:ind w:left="720" w:hanging="360"/>
            </w:pPr>
            <w:r w:rsidDel="00000000" w:rsidR="00000000" w:rsidRPr="00000000">
              <w:rPr>
                <w:rtl w:val="0"/>
              </w:rPr>
              <w:t xml:space="preserve">Absolvição com fundamento no artigo 386, inciso VII, do Código de Processo Penal em razão da ausência de provas da prática do ilícito</w:t>
            </w:r>
          </w:p>
          <w:p w:rsidR="00000000" w:rsidDel="00000000" w:rsidP="00000000" w:rsidRDefault="00000000" w:rsidRPr="00000000" w14:paraId="00000031">
            <w:pPr>
              <w:numPr>
                <w:ilvl w:val="0"/>
                <w:numId w:val="1"/>
              </w:numPr>
              <w:spacing w:line="276" w:lineRule="auto"/>
              <w:ind w:left="720" w:hanging="360"/>
            </w:pPr>
            <w:r w:rsidDel="00000000" w:rsidR="00000000" w:rsidRPr="00000000">
              <w:rPr>
                <w:rtl w:val="0"/>
              </w:rPr>
              <w:t xml:space="preserve">Denúncia anônima não justifica busca pessoal (STJ HC 734.263)</w:t>
            </w:r>
          </w:p>
          <w:p w:rsidR="00000000" w:rsidDel="00000000" w:rsidP="00000000" w:rsidRDefault="00000000" w:rsidRPr="00000000" w14:paraId="00000032">
            <w:pPr>
              <w:numPr>
                <w:ilvl w:val="0"/>
                <w:numId w:val="1"/>
              </w:numPr>
              <w:spacing w:line="276" w:lineRule="auto"/>
              <w:ind w:left="720" w:hanging="360"/>
            </w:pPr>
            <w:r w:rsidDel="00000000" w:rsidR="00000000" w:rsidRPr="00000000">
              <w:rPr>
                <w:rtl w:val="0"/>
              </w:rPr>
              <w:t xml:space="preserve">Droga não foi apreendida em poder do acusado, mas em local de propriedade desconhecida</w:t>
            </w:r>
          </w:p>
          <w:p w:rsidR="00000000" w:rsidDel="00000000" w:rsidP="00000000" w:rsidRDefault="00000000" w:rsidRPr="00000000" w14:paraId="00000033">
            <w:pPr>
              <w:numPr>
                <w:ilvl w:val="0"/>
                <w:numId w:val="1"/>
              </w:numPr>
              <w:spacing w:line="276" w:lineRule="auto"/>
              <w:ind w:left="720" w:hanging="360"/>
            </w:pPr>
            <w:r w:rsidDel="00000000" w:rsidR="00000000" w:rsidRPr="00000000">
              <w:rPr>
                <w:rtl w:val="0"/>
              </w:rPr>
              <w:t xml:space="preserve">Droga mencionada nas supostas denúncias anônimas é diversa da droga cuja propriedade é atribuída ao acusado</w:t>
            </w:r>
          </w:p>
          <w:p w:rsidR="00000000" w:rsidDel="00000000" w:rsidP="00000000" w:rsidRDefault="00000000" w:rsidRPr="00000000" w14:paraId="00000034">
            <w:pPr>
              <w:numPr>
                <w:ilvl w:val="0"/>
                <w:numId w:val="1"/>
              </w:numPr>
              <w:spacing w:line="276" w:lineRule="auto"/>
              <w:ind w:left="720" w:hanging="360"/>
            </w:pPr>
            <w:r w:rsidDel="00000000" w:rsidR="00000000" w:rsidRPr="00000000">
              <w:rPr>
                <w:rtl w:val="0"/>
              </w:rPr>
              <w:t xml:space="preserve">Ilegalidade da abordagem com fundamento no nervosismo (STJ, HC 760.032) ou na tentativa de evasão do denunciado (STJ HC 811.634)</w:t>
            </w:r>
          </w:p>
          <w:p w:rsidR="00000000" w:rsidDel="00000000" w:rsidP="00000000" w:rsidRDefault="00000000" w:rsidRPr="00000000" w14:paraId="00000035">
            <w:pPr>
              <w:numPr>
                <w:ilvl w:val="0"/>
                <w:numId w:val="1"/>
              </w:numPr>
              <w:spacing w:line="276" w:lineRule="auto"/>
              <w:ind w:left="720" w:hanging="360"/>
            </w:pPr>
            <w:r w:rsidDel="00000000" w:rsidR="00000000" w:rsidRPr="00000000">
              <w:rPr>
                <w:rtl w:val="0"/>
              </w:rPr>
              <w:t xml:space="preserve">Tese subsidiária para o caso de condenação: Tráfico privilegiado com fundamento no art. 33, §4º</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line="276" w:lineRule="auto"/>
              <w:rPr/>
            </w:pPr>
            <w:r w:rsidDel="00000000" w:rsidR="00000000" w:rsidRPr="00000000">
              <w:rPr>
                <w:rtl w:val="0"/>
              </w:rPr>
              <w:t xml:space="preserve">2,0pt</w:t>
            </w:r>
          </w:p>
        </w:tc>
      </w:tr>
      <w:tr>
        <w:trPr>
          <w:cantSplit w:val="0"/>
          <w:trHeight w:val="2583.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line="276" w:lineRule="auto"/>
              <w:rPr/>
            </w:pPr>
            <w:r w:rsidDel="00000000" w:rsidR="00000000" w:rsidRPr="00000000">
              <w:rPr>
                <w:rtl w:val="0"/>
              </w:rPr>
              <w:t xml:space="preserve">Identificação dos pedidos e/ou requerimentos </w:t>
            </w:r>
          </w:p>
          <w:p w:rsidR="00000000" w:rsidDel="00000000" w:rsidP="00000000" w:rsidRDefault="00000000" w:rsidRPr="00000000" w14:paraId="00000038">
            <w:pPr>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tabs>
                <w:tab w:val="left" w:leader="none" w:pos="1560"/>
              </w:tabs>
              <w:spacing w:after="227" w:line="360" w:lineRule="auto"/>
              <w:jc w:val="both"/>
              <w:rPr>
                <w:highlight w:val="white"/>
              </w:rPr>
            </w:pPr>
            <w:r w:rsidDel="00000000" w:rsidR="00000000" w:rsidRPr="00000000">
              <w:rPr>
                <w:highlight w:val="white"/>
                <w:rtl w:val="0"/>
              </w:rPr>
              <w:t xml:space="preserve">1. Seja julgada improcedente a pretensão acusatória contida na denúncia, absolvendo-se o acusado de todas as imputações que lhe são feitas pela insuficiência de provas de autoria.</w:t>
            </w:r>
          </w:p>
          <w:p w:rsidR="00000000" w:rsidDel="00000000" w:rsidP="00000000" w:rsidRDefault="00000000" w:rsidRPr="00000000" w14:paraId="0000003A">
            <w:pPr>
              <w:widowControl w:val="0"/>
              <w:tabs>
                <w:tab w:val="left" w:leader="none" w:pos="1560"/>
              </w:tabs>
              <w:spacing w:after="227" w:line="360" w:lineRule="auto"/>
              <w:jc w:val="both"/>
              <w:rPr/>
            </w:pPr>
            <w:r w:rsidDel="00000000" w:rsidR="00000000" w:rsidRPr="00000000">
              <w:rPr>
                <w:highlight w:val="white"/>
                <w:rtl w:val="0"/>
              </w:rPr>
              <w:t xml:space="preserve">2. Subsidiariamente, caso não acolhido o pleito anterior, </w:t>
            </w:r>
            <w:r w:rsidDel="00000000" w:rsidR="00000000" w:rsidRPr="00000000">
              <w:rPr>
                <w:rtl w:val="0"/>
              </w:rPr>
              <w:t xml:space="preserve">a </w:t>
            </w:r>
            <w:r w:rsidDel="00000000" w:rsidR="00000000" w:rsidRPr="00000000">
              <w:rPr>
                <w:highlight w:val="white"/>
                <w:rtl w:val="0"/>
              </w:rPr>
              <w:t xml:space="preserve">aplicação do §4º, do art. 33 da Lei nº 11.343/2006, a fim de que seja reduzida, em seu patamar máximo, a pena imposta ao acusado, com a consequente conversão da pena privativa de liberdade em restritiva de direitos (art. 44 e seguintes do CP)</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spacing w:line="276" w:lineRule="auto"/>
              <w:rPr/>
            </w:pPr>
            <w:r w:rsidDel="00000000" w:rsidR="00000000" w:rsidRPr="00000000">
              <w:rPr>
                <w:rtl w:val="0"/>
              </w:rPr>
              <w:t xml:space="preserve">2,0pt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line="276" w:lineRule="auto"/>
              <w:rPr/>
            </w:pPr>
            <w:r w:rsidDel="00000000" w:rsidR="00000000" w:rsidRPr="00000000">
              <w:rPr>
                <w:rtl w:val="0"/>
              </w:rPr>
              <w:t xml:space="preserve">Fechamento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line="276" w:lineRule="auto"/>
              <w:rPr/>
            </w:pPr>
            <w:r w:rsidDel="00000000" w:rsidR="00000000" w:rsidRPr="00000000">
              <w:rPr>
                <w:rtl w:val="0"/>
              </w:rPr>
              <w:t xml:space="preserve">São Luís (MA), 11 de dezembro de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line="276" w:lineRule="auto"/>
              <w:rPr/>
            </w:pPr>
            <w:r w:rsidDel="00000000" w:rsidR="00000000" w:rsidRPr="00000000">
              <w:rPr>
                <w:rtl w:val="0"/>
              </w:rPr>
              <w:t xml:space="preserve">0,5pt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line="276" w:lineRule="auto"/>
              <w:rPr/>
            </w:pPr>
            <w:r w:rsidDel="00000000" w:rsidR="00000000" w:rsidRPr="00000000">
              <w:rPr>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line="276" w:lineRule="auto"/>
              <w:rPr/>
            </w:pPr>
            <w:r w:rsidDel="00000000" w:rsidR="00000000" w:rsidRPr="00000000">
              <w:rPr>
                <w:rtl w:val="0"/>
              </w:rPr>
              <w:t xml:space="preserve">10,0pt</w:t>
            </w:r>
          </w:p>
        </w:tc>
      </w:tr>
    </w:tbl>
    <w:p w:rsidR="00000000" w:rsidDel="00000000" w:rsidP="00000000" w:rsidRDefault="00000000" w:rsidRPr="00000000" w14:paraId="00000042">
      <w:pPr>
        <w:spacing w:line="276" w:lineRule="auto"/>
        <w:rPr>
          <w:sz w:val="22"/>
          <w:szCs w:val="22"/>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Bdr>
        <w:top w:color="000000" w:space="0" w:sz="6" w:val="single"/>
      </w:pBd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jc w:val="center"/>
      <w:rPr/>
    </w:pPr>
    <w:r w:rsidDel="00000000" w:rsidR="00000000" w:rsidRPr="00000000">
      <w:rPr/>
      <w:drawing>
        <wp:inline distB="0" distT="0" distL="114300" distR="114300">
          <wp:extent cx="698500" cy="508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850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pBdr>
        <w:bottom w:color="000000" w:space="0" w:sz="6" w:val="single"/>
      </w:pBdr>
      <w:jc w:val="center"/>
      <w:rPr/>
    </w:pPr>
    <w:r w:rsidDel="00000000" w:rsidR="00000000" w:rsidRPr="00000000">
      <w:rPr>
        <w:rtl w:val="0"/>
      </w:rPr>
      <w:t xml:space="preserve">Defensoria Pública do Estado do Maranhão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efensoria.ma.def.br/prova-online/" TargetMode="External"/><Relationship Id="rId8" Type="http://schemas.openxmlformats.org/officeDocument/2006/relationships/hyperlink" Target="https://forms.gle/vYZNyizxX3iZ4NxT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ZJytvKPLaqoDAAsS26DjRVqXag==">CgMxLjA4AHIhMXVaTU5qUFFpYjd3SExSVEdHVzZxODVNbmVuV2VrbHBP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