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Nº 005/2023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CONVÊNIO Nº 880896/2028/MJSP/SENAPPEN -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PROJETO "FORTALECIMENTO DA ASSISTÊNCIA JURÍDICA E IMPLANTAÇÃO DA VISITA VIRTUAL PARA AS PESSOAS PRIVADAS DE LIBERDADE"</w:t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CONVÊNIO Nº 880896/2028/MJSP/SENAPPEN -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PROJETO "FORTALECIMENTO DA ASSISTÊNCIA JURÍDICA E IMPLANTAÇÃO DA VISITA VIRTUAL PARA AS PESSOAS PRIVADAS DE LIBERDADE",</w:t>
      </w:r>
      <w:r w:rsidDel="00000000" w:rsidR="00000000" w:rsidRPr="00000000">
        <w:rPr>
          <w:sz w:val="22"/>
          <w:szCs w:val="22"/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PUBLICAR a lista definitiva de INSCRIÇÕES DEFERIDAS/INDEFERIDAS, </w:t>
      </w:r>
      <w:r w:rsidDel="00000000" w:rsidR="00000000" w:rsidRPr="00000000">
        <w:rPr>
          <w:sz w:val="22"/>
          <w:szCs w:val="22"/>
          <w:rtl w:val="0"/>
        </w:rPr>
        <w:t xml:space="preserve">conforme ANEXO 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 </w:t>
      </w:r>
      <w:r w:rsidDel="00000000" w:rsidR="00000000" w:rsidRPr="00000000">
        <w:rPr>
          <w:sz w:val="22"/>
          <w:szCs w:val="22"/>
          <w:rtl w:val="0"/>
        </w:rPr>
        <w:t xml:space="preserve">o resultado da </w:t>
      </w:r>
      <w:r w:rsidDel="00000000" w:rsidR="00000000" w:rsidRPr="00000000">
        <w:rPr>
          <w:b w:val="1"/>
          <w:sz w:val="22"/>
          <w:szCs w:val="22"/>
          <w:rtl w:val="0"/>
        </w:rPr>
        <w:t xml:space="preserve">ANÁLISE CURRICULAR/COEFICIENTE DE RENDIMENTO, </w:t>
      </w:r>
      <w:r w:rsidDel="00000000" w:rsidR="00000000" w:rsidRPr="00000000">
        <w:rPr>
          <w:sz w:val="22"/>
          <w:szCs w:val="22"/>
          <w:rtl w:val="0"/>
        </w:rPr>
        <w:t xml:space="preserve">conforme ANEXO II.</w:t>
      </w:r>
    </w:p>
    <w:p w:rsidR="00000000" w:rsidDel="00000000" w:rsidP="00000000" w:rsidRDefault="00000000" w:rsidRPr="00000000" w14:paraId="0000000B">
      <w:pPr>
        <w:spacing w:after="160" w:line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3° INFORMAR </w:t>
      </w:r>
      <w:r w:rsidDel="00000000" w:rsidR="00000000" w:rsidRPr="00000000">
        <w:rPr>
          <w:sz w:val="22"/>
          <w:szCs w:val="22"/>
          <w:rtl w:val="0"/>
        </w:rPr>
        <w:t xml:space="preserve">que os recursos em face da Análise Curricular e de Coeficiente de rendimento deverão ser interpostos entre os dias </w:t>
      </w:r>
      <w:r w:rsidDel="00000000" w:rsidR="00000000" w:rsidRPr="00000000">
        <w:rPr>
          <w:b w:val="1"/>
          <w:sz w:val="22"/>
          <w:szCs w:val="22"/>
          <w:rtl w:val="0"/>
        </w:rPr>
        <w:t xml:space="preserve">16/11/2023 a 17/11/2023, através do formulário: </w:t>
      </w:r>
      <w:hyperlink r:id="rId8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https://forms.gle/TTwB7Daq247zeAhU7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60" w:line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</w:t>
      </w:r>
      <w:r w:rsidDel="00000000" w:rsidR="00000000" w:rsidRPr="00000000">
        <w:rPr>
          <w:sz w:val="22"/>
          <w:szCs w:val="22"/>
          <w:rtl w:val="0"/>
        </w:rPr>
        <w:t xml:space="preserve"> no site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16 de novembro de 2023.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8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2">
      <w:pPr>
        <w:spacing w:after="240" w:before="40" w:line="240" w:lineRule="auto"/>
        <w:ind w:left="320" w:right="60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forms.gle/TTwB7Daq247zeAhU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qaZ6Y0Qh1B/QV9z5bhs0hvIhw==">CgMxLjA4AHIhMVBLNHp2Q1BsSnBhQVlNTGxvSDFYWnpUc2Nsbi00S3Ns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2023-11-08T14:14:45-03:00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