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widowControl w:val="1"/>
        <w:spacing w:line="276" w:lineRule="auto"/>
        <w:jc w:val="left"/>
        <w:rPr>
          <w:rFonts w:ascii="Arial" w:cs="Arial" w:eastAsia="Arial" w:hAnsi="Arial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widowControl w:val="1"/>
        <w:spacing w:after="240" w:before="40" w:line="276" w:lineRule="auto"/>
        <w:ind w:left="320" w:right="600" w:firstLine="0"/>
        <w:jc w:val="center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ANEXO I</w:t>
      </w:r>
    </w:p>
    <w:p w:rsidR="00000000" w:rsidDel="00000000" w:rsidP="00000000" w:rsidRDefault="00000000" w:rsidRPr="00000000" w14:paraId="00000004">
      <w:pPr>
        <w:widowControl w:val="1"/>
        <w:spacing w:after="240" w:before="40" w:line="276" w:lineRule="auto"/>
        <w:ind w:left="320" w:right="600" w:firstLine="0"/>
        <w:jc w:val="center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JULGAMENTO DOS RECURSOS EM FACE DAS ENTREVISTAS DE HETEROIDENTIFICAÇÃO</w:t>
      </w:r>
    </w:p>
    <w:tbl>
      <w:tblPr>
        <w:tblStyle w:val="Table1"/>
        <w:tblW w:w="10155.0" w:type="dxa"/>
        <w:jc w:val="left"/>
        <w:tblInd w:w="-690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245"/>
        <w:gridCol w:w="2280"/>
        <w:gridCol w:w="1620"/>
        <w:gridCol w:w="5010"/>
        <w:tblGridChange w:id="0">
          <w:tblGrid>
            <w:gridCol w:w="1245"/>
            <w:gridCol w:w="2280"/>
            <w:gridCol w:w="1620"/>
            <w:gridCol w:w="5010"/>
          </w:tblGrid>
        </w:tblGridChange>
      </w:tblGrid>
      <w:tr>
        <w:trPr>
          <w:cantSplit w:val="0"/>
          <w:trHeight w:val="135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d9ead3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05">
            <w:pPr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INSCRIÇÃO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d9ead3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06">
            <w:pPr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NOME COMPLETO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d9ead3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07">
            <w:pPr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DATA DE NASCIMENTO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d9ead3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08">
            <w:pPr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JULGAMENTO DOS RECURSOS</w:t>
            </w:r>
          </w:p>
        </w:tc>
      </w:tr>
      <w:tr>
        <w:trPr>
          <w:cantSplit w:val="0"/>
          <w:trHeight w:val="135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09">
            <w:pPr>
              <w:widowControl w:val="1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34909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A">
            <w:pPr>
              <w:widowControl w:val="1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JOÃO VICTOR FERREIRA BOTELHO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B">
            <w:pPr>
              <w:widowControl w:val="1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21/04/1996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C">
            <w:pPr>
              <w:widowControl w:val="1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INDEFERIDO (A). Candidato/a não apresentou elementos capazes de alterar o entendimento firmado pela Comissão de Heteroidentificação no que se refere ao critério fenotípico para fins de enquadramento na concorrência específica de pessoas negras.</w:t>
            </w:r>
          </w:p>
        </w:tc>
      </w:tr>
      <w:tr>
        <w:trPr>
          <w:cantSplit w:val="0"/>
          <w:trHeight w:val="135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0D">
            <w:pPr>
              <w:widowControl w:val="1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34105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E">
            <w:pPr>
              <w:widowControl w:val="1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HELLAYSE CARDIANNE ROCHA DA SILVA LEITE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F">
            <w:pPr>
              <w:widowControl w:val="1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25/05/1987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0">
            <w:pPr>
              <w:widowControl w:val="1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INDEFERIDO (A). Candidato/a não apresentou elementos capazes de alterar o entendimento firmado pela Comissão de Heteroidentificação no que se refere ao critério fenotípico para fins de enquadramento na concorrência específica de pessoas negras.</w:t>
            </w:r>
          </w:p>
        </w:tc>
      </w:tr>
      <w:tr>
        <w:trPr>
          <w:cantSplit w:val="0"/>
          <w:trHeight w:val="135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011">
            <w:pPr>
              <w:widowControl w:val="1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34037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012">
            <w:pPr>
              <w:widowControl w:val="1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JEANE KARLA COSTA  FERREIRA NUNES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013">
            <w:pPr>
              <w:widowControl w:val="1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13/03/1976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4">
            <w:pPr>
              <w:widowControl w:val="1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INDEFERIDO (A). Candidato/a não apresentou elementos capazes de alterar o entendimento firmado pela Comissão de Heteroidentificação no que se refere ao critério fenotípico para fins de enquadramento na concorrência específica de pessoas negras.</w:t>
            </w:r>
          </w:p>
        </w:tc>
      </w:tr>
      <w:tr>
        <w:trPr>
          <w:cantSplit w:val="0"/>
          <w:trHeight w:val="135" w:hRule="atLeast"/>
          <w:tblHeader w:val="0"/>
        </w:trPr>
        <w:tc>
          <w:tcPr>
            <w:tcBorders>
              <w:top w:color="000000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015">
            <w:pPr>
              <w:widowControl w:val="1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33861</w:t>
            </w:r>
          </w:p>
        </w:tc>
        <w:tc>
          <w:tcPr>
            <w:tcBorders>
              <w:top w:color="000000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016">
            <w:pPr>
              <w:widowControl w:val="1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GABRIEL MÁXIMO LIMA DA SILVA</w:t>
            </w:r>
          </w:p>
        </w:tc>
        <w:tc>
          <w:tcPr>
            <w:tcBorders>
              <w:top w:color="000000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017">
            <w:pPr>
              <w:widowControl w:val="1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27/09/2001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8">
            <w:pPr>
              <w:widowControl w:val="1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INDEFERIDO (A). Candidato/a não apresentou elementos capazes de alterar o entendimento firmado pela Comissão de Heteroidentificação no que se refere ao critério fenotípico para fins de enquadramento na concorrência específica de pessoas negras.</w:t>
            </w:r>
          </w:p>
        </w:tc>
      </w:tr>
      <w:tr>
        <w:trPr>
          <w:cantSplit w:val="0"/>
          <w:trHeight w:val="135" w:hRule="atLeast"/>
          <w:tblHeader w:val="0"/>
        </w:trPr>
        <w:tc>
          <w:tcPr>
            <w:tcBorders>
              <w:top w:color="000000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019">
            <w:pPr>
              <w:widowControl w:val="1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–</w:t>
            </w:r>
          </w:p>
        </w:tc>
        <w:tc>
          <w:tcPr>
            <w:tcBorders>
              <w:top w:color="000000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01A">
            <w:pPr>
              <w:widowControl w:val="1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PATRICIA DAS GRAÇAS SOUZA LIMA MARTINS</w:t>
            </w:r>
          </w:p>
        </w:tc>
        <w:tc>
          <w:tcPr>
            <w:tcBorders>
              <w:top w:color="000000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01B">
            <w:pPr>
              <w:widowControl w:val="1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C">
            <w:pPr>
              <w:widowControl w:val="1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INDEFERIDO (A). Candidato(a) não inscrito(a) neste processo seletivo.</w:t>
            </w:r>
          </w:p>
        </w:tc>
      </w:tr>
    </w:tbl>
    <w:p w:rsidR="00000000" w:rsidDel="00000000" w:rsidP="00000000" w:rsidRDefault="00000000" w:rsidRPr="00000000" w14:paraId="0000001D">
      <w:pPr>
        <w:widowControl w:val="1"/>
        <w:rPr>
          <w:rFonts w:ascii="Arial" w:cs="Arial" w:eastAsia="Arial" w:hAnsi="Arial"/>
          <w:b w:val="1"/>
          <w:color w:val="ff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widowControl w:val="1"/>
        <w:spacing w:line="360" w:lineRule="auto"/>
        <w:ind w:right="1234.1338582677172"/>
        <w:jc w:val="left"/>
        <w:rPr>
          <w:rFonts w:ascii="Arial" w:cs="Arial" w:eastAsia="Arial" w:hAnsi="Arial"/>
          <w:b w:val="1"/>
          <w:color w:val="ff0000"/>
          <w:sz w:val="24"/>
          <w:szCs w:val="24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pgSz w:h="16838" w:w="11906" w:orient="portrait"/>
      <w:pgMar w:bottom="1440.0000000000002" w:top="1440.0000000000002" w:left="1440.0000000000002" w:right="1440.0000000000002" w:header="0" w:foot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mbria"/>
  <w:font w:name="Georgia"/>
  <w:font w:name="Times New Roman"/>
  <w:font w:name="Arial"/>
  <w:font w:name="Liberation Sans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0">
    <w:pPr>
      <w:rPr/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F">
    <w:pPr>
      <w:ind w:left="4616" w:firstLine="0"/>
      <w:rPr/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0" distR="0" hidden="0" layoutInCell="1" locked="0" relativeHeight="0" simplePos="0">
          <wp:simplePos x="0" y="0"/>
          <wp:positionH relativeFrom="column">
            <wp:posOffset>2313150</wp:posOffset>
          </wp:positionH>
          <wp:positionV relativeFrom="paragraph">
            <wp:posOffset>152400</wp:posOffset>
          </wp:positionV>
          <wp:extent cx="1109345" cy="757555"/>
          <wp:effectExtent b="0" l="0" r="0" t="0"/>
          <wp:wrapNone/>
          <wp:docPr id="1" name="image1.jpg"/>
          <a:graphic>
            <a:graphicData uri="http://schemas.openxmlformats.org/drawingml/2006/picture">
              <pic:pic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109345" cy="757555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sz w:val="22"/>
        <w:szCs w:val="22"/>
        <w:lang w:val="pt-PT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ind w:left="328" w:firstLine="0"/>
      <w:jc w:val="both"/>
    </w:pPr>
    <w:rPr>
      <w:b w:val="1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0" w:before="40" w:lineRule="auto"/>
    </w:pPr>
    <w:rPr>
      <w:rFonts w:ascii="Cambria" w:cs="Cambria" w:eastAsia="Cambria" w:hAnsi="Cambria"/>
      <w:color w:val="366091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spacing w:after="120" w:before="240" w:lineRule="auto"/>
    </w:pPr>
    <w:rPr>
      <w:rFonts w:ascii="Liberation Sans" w:cs="Liberation Sans" w:eastAsia="Liberation Sans" w:hAnsi="Liberation Sans"/>
      <w:sz w:val="28"/>
      <w:szCs w:val="2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0.0" w:type="dxa"/>
        <w:left w:w="10.0" w:type="dxa"/>
        <w:bottom w:w="10.0" w:type="dxa"/>
        <w:right w:w="1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j6GcqGtEpurZNi8L2eUNHhUTHMg==">CgMxLjA4AHIhMTlrM1BDRi1YYzk2Y2FLZkRlNWU3aHRfQUNUaHhKbVlH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caleCrop">
    <vt:lpwstr>false</vt:lpwstr>
  </property>
  <property fmtid="{D5CDD505-2E9C-101B-9397-08002B2CF9AE}" pid="3" name="HyperlinksChanged">
    <vt:lpwstr>false</vt:lpwstr>
  </property>
  <property fmtid="{D5CDD505-2E9C-101B-9397-08002B2CF9AE}" pid="4" name="LinksUpToDate">
    <vt:lpwstr>false</vt:lpwstr>
  </property>
  <property fmtid="{D5CDD505-2E9C-101B-9397-08002B2CF9AE}" pid="5" name="ShareDoc">
    <vt:lpwstr>false</vt:lpwstr>
  </property>
</Properties>
</file>