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004/2023 - ESDPEMA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legais, e: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de Recursos Humanos</w:t>
      </w:r>
      <w:r w:rsidDel="00000000" w:rsidR="00000000" w:rsidRPr="00000000">
        <w:rPr>
          <w:rtl w:val="0"/>
        </w:rPr>
        <w:t xml:space="preserve">” realizado em parceria com o SENAI/MA;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Considerando a existência de alunos/as inscritos/as que não foram beneficiados(as) com Bolsa de Apoio à Formação da População Vulnerável, Indígena, Quilombola e Trans, mas que possuem necessidade no recebimento do benefício para fins de permanência na formação;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REABRIR</w:t>
      </w:r>
      <w:r w:rsidDel="00000000" w:rsidR="00000000" w:rsidRPr="00000000">
        <w:rPr>
          <w:rtl w:val="0"/>
        </w:rPr>
        <w:t xml:space="preserve"> o prazo para solicitação de </w:t>
      </w:r>
      <w:r w:rsidDel="00000000" w:rsidR="00000000" w:rsidRPr="00000000">
        <w:rPr>
          <w:color w:val="222222"/>
          <w:highlight w:val="white"/>
          <w:rtl w:val="0"/>
        </w:rPr>
        <w:t xml:space="preserve">Bolsa de Apoio à Formação da População Vulnerável, Indígena, Quilombola e Trans para os/as alunos inscritos/as e frequentes no curso.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Parágrafo primeiro. Serão recebidas solicitações de concessão de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Bolsa de Apoio à Formação da População Vulnerável, Indígena, Quilombola e Trans no período de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09 de outubro a 13 de outubro de 2023, até às 23h59min </w:t>
      </w:r>
      <w:r w:rsidDel="00000000" w:rsidR="00000000" w:rsidRPr="00000000">
        <w:rPr>
          <w:color w:val="222222"/>
          <w:highlight w:val="white"/>
          <w:rtl w:val="0"/>
        </w:rPr>
        <w:t xml:space="preserve">por meio do formulário eletrônico disponível no seguinte endereço: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https://forms.gle/izR1gLX2MULmpMaf6</w:t>
        </w:r>
      </w:hyperlink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ou presencialmente na sala da Escola Superior.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Parágrafo segundo. No momento da solicitação, o/a interessado/a deverá anexar </w:t>
      </w:r>
      <w:r w:rsidDel="00000000" w:rsidR="00000000" w:rsidRPr="00000000">
        <w:rPr>
          <w:b w:val="1"/>
          <w:rtl w:val="0"/>
        </w:rPr>
        <w:t xml:space="preserve">obrigatoriamente, sob pena de indeferimento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Declaração para fins de concessão de bolsa de apoio à formação da população vulnerável, indígena, quilombola e de identidade trans;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Não serão admitidos modelos diversos ao ANEXO II do Edital de Abertura;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Não serão admitidas declarações sem assinatura ou com assinatura "inserida" posteriormente no documento.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Informações bancárias de </w:t>
      </w:r>
      <w:r w:rsidDel="00000000" w:rsidR="00000000" w:rsidRPr="00000000">
        <w:rPr>
          <w:b w:val="1"/>
          <w:rtl w:val="0"/>
        </w:rPr>
        <w:t xml:space="preserve">conta corrente em nome do/a interessado/a</w:t>
      </w:r>
      <w:r w:rsidDel="00000000" w:rsidR="00000000" w:rsidRPr="00000000">
        <w:rPr>
          <w:rtl w:val="0"/>
        </w:rPr>
        <w:t xml:space="preserve"> e cópia legível de cartão, extrato ou print de aplicativo do banco em que conste Número da Conta, Número da Agência e Nome do Banco.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Não serão admitidas contas do tipo poupança;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40" w:lineRule="auto"/>
        <w:ind w:left="1440" w:hanging="360"/>
        <w:jc w:val="both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Não serão admitidas contas com mais de 10 (dez) dígitos;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="240" w:lineRule="auto"/>
        <w:ind w:left="144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Não serão admitidas contas em nome de terceira pessoa diversa à pessoa inscrita.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Permanecem vigentes todas as regras previstas no item 6 do Edital de Abertura.</w:t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firstLine="1133.858267716535"/>
        <w:jc w:val="right"/>
        <w:rPr/>
      </w:pPr>
      <w:r w:rsidDel="00000000" w:rsidR="00000000" w:rsidRPr="00000000">
        <w:rPr>
          <w:rtl w:val="0"/>
        </w:rPr>
        <w:t xml:space="preserve">São Luís (MA), 09 de outubro de 2023.</w:t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Diretora da Escola Superior da Defensoria Pública do Maranhão</w:t>
      </w:r>
      <w:r w:rsidDel="00000000" w:rsidR="00000000" w:rsidRPr="00000000">
        <w:rPr>
          <w:rtl w:val="0"/>
        </w:rPr>
      </w:r>
    </w:p>
    <w:sectPr>
      <w:headerReference r:id="rId8" w:type="default"/>
      <w:pgSz w:h="16820" w:w="1190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izR1gLX2MULmpMaf6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322Fz3fLyRpgjY5lLM+F8DG8Q==">CgMxLjA4AHIhMS1GM0Fya2UtWmVoTWJYcERkRmpFNGxYNzBjNEg3d19M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