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002/2023 - ESDPEMA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 e tendo em vista o Curso de “</w:t>
      </w:r>
      <w:r w:rsidDel="00000000" w:rsidR="00000000" w:rsidRPr="00000000">
        <w:rPr>
          <w:b w:val="1"/>
          <w:rtl w:val="0"/>
        </w:rPr>
        <w:t xml:space="preserve">Assistente Administrativo</w:t>
      </w:r>
      <w:r w:rsidDel="00000000" w:rsidR="00000000" w:rsidRPr="00000000">
        <w:rPr>
          <w:rtl w:val="0"/>
        </w:rPr>
        <w:t xml:space="preserve">”, resolve: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Art.1º. DIVULGAR</w:t>
      </w:r>
      <w:r w:rsidDel="00000000" w:rsidR="00000000" w:rsidRPr="00000000">
        <w:rPr>
          <w:rtl w:val="0"/>
        </w:rPr>
        <w:t xml:space="preserve"> a lista dos(as) candidatos(as) selecionados(as),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Art.2º </w:t>
      </w:r>
      <w:r w:rsidDel="00000000" w:rsidR="00000000" w:rsidRPr="00000000">
        <w:rPr>
          <w:rtl w:val="0"/>
        </w:rPr>
        <w:t xml:space="preserve">Convocar os(as) candidatos(as) a anexarem o requerimento de matrícula (ANEXO I do Edital nº 001/2023 ESDPEMA) devidamente preenchido e assinado pelo/a selecionado/a e pelo superior hierárquico no caso de colaboradores/as até o </w:t>
      </w:r>
      <w:r w:rsidDel="00000000" w:rsidR="00000000" w:rsidRPr="00000000">
        <w:rPr>
          <w:b w:val="1"/>
          <w:rtl w:val="0"/>
        </w:rPr>
        <w:t xml:space="preserve">dia 30 de junho de 2023, às 17h00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Parágrafo primeiro.</w:t>
      </w:r>
      <w:r w:rsidDel="00000000" w:rsidR="00000000" w:rsidRPr="00000000">
        <w:rPr>
          <w:rtl w:val="0"/>
        </w:rPr>
        <w:t xml:space="preserve"> O Requerimento de Matrícula deve ser anexado na atividade “Anexar documentos para matrícula” na página do curso na plataforma de aprendizagem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https://esdpe.ma.def.br/</w:t>
        </w:r>
      </w:hyperlink>
      <w:r w:rsidDel="00000000" w:rsidR="00000000" w:rsidRPr="00000000">
        <w:rPr>
          <w:rtl w:val="0"/>
        </w:rPr>
        <w:t xml:space="preserve"> ou ser entregue presencialmente na sala da Escola Superior.</w:t>
      </w:r>
    </w:p>
    <w:p w:rsidR="00000000" w:rsidDel="00000000" w:rsidP="00000000" w:rsidRDefault="00000000" w:rsidRPr="00000000" w14:paraId="0000000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Parágrafo segundo.</w:t>
      </w:r>
      <w:r w:rsidDel="00000000" w:rsidR="00000000" w:rsidRPr="00000000">
        <w:rPr>
          <w:rtl w:val="0"/>
        </w:rPr>
        <w:t xml:space="preserve"> O não envio da documentação exigida dentro do prazo estipulado implicará o cancelamento da vaga e a convocação dos/as inscritos/as excedentes mediante sorteio, conforme item 5.5 do Edital nº 001/2023 ESDPEMA.</w:t>
      </w:r>
    </w:p>
    <w:p w:rsidR="00000000" w:rsidDel="00000000" w:rsidP="00000000" w:rsidRDefault="00000000" w:rsidRPr="00000000" w14:paraId="0000000E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São Luís (MA), 10 de junho de 2023.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8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0"/>
          <w:szCs w:val="20"/>
        </w:rPr>
        <w:sectPr>
          <w:headerReference r:id="rId8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10"/>
        <w:gridCol w:w="4035"/>
        <w:gridCol w:w="3765"/>
        <w:tblGridChange w:id="0">
          <w:tblGrid>
            <w:gridCol w:w="1110"/>
            <w:gridCol w:w="4035"/>
            <w:gridCol w:w="376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NOME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THAÍS MOURA SILVA ROCHA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FLOR DE LIZ DA COSTA CONCEIÇÃO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ELIADE PINHEIRO ARAUJO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NATALIA PEREIRA DE SANTANA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VIVIANE FERREIRA DE SOUZA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LARA SOFIA DINIZ CASTRO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MARIA EDUARDA COSTA MOREIRA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PÚBLICO EXTERNO COM VÍNCULO DE PARENTESCO COM SERVIDORES(AS)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VERONICA FERREIRA DE SOUZA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COM VÍNCULO DE PARENTESCO COM SERVIDORES(AS)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ISABELLA COSTA NASCIMENTO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PÚBLICO EXTERNO EM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ROBERTO GOMES PACHECO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PÚBLICO EXTERNO EM GERAL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ADRIANA ANDRADE COSTA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ROSINETE COSTA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LOURIJEFFERSON PEREIRA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MARIANE DINIZ MATOS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ANDRESSA RAYANNE ARAUJO LEMOS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JOSEANDRO FONSECA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LUÍS FELIPE RIBEIRO ARAÚJO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LAYANE COSTA RODRIGUES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KAWE KLAY FERREIRA BARROS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LETTICIA STHEFANY FERREIRA PESSOA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MARA NUBIA SOUSA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DENUSIA CUNHA MONTEIRO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MARCIA MAFRA LOBO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ANDREIA ANTONIELLE DAMASCENO SILVA COUTO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MIRELLY SILVA MENDONÇA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ELAYNNE AMORIM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CAMILA AGUIAR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CARLOS JOSÉ DINIZ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JÉSSICA THAÍS DA COSTA BARBOSA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PÚBLICO EXTERNO EM GERAL</w:t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20550" cy="4476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dpe.ma.def.br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udojJ2pPlJ2P/BffaQwF7HSQQ==">CgMxLjA4AHIhMTVla2c1enc2QkVCak5aQm5oYVRmR0lDUTJTdXhhOFlO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