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008/2022</w:t>
      </w:r>
    </w:p>
    <w:p w:rsidR="00000000" w:rsidDel="00000000" w:rsidP="00000000" w:rsidRDefault="00000000" w:rsidRPr="00000000" w14:paraId="00000002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59.2000000000001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DIVULGAR o RESULTADO DEFINITIVO DA ENTREVISTA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rtl w:val="0"/>
        </w:rPr>
        <w:t xml:space="preserve">do presente Edital.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FINAL PRELIMINAR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3° CONVOCAR </w:t>
      </w:r>
      <w:r w:rsidDel="00000000" w:rsidR="00000000" w:rsidRPr="00000000">
        <w:rPr>
          <w:rFonts w:ascii="Arial" w:cs="Arial" w:eastAsia="Arial" w:hAnsi="Arial"/>
          <w:rtl w:val="0"/>
        </w:rPr>
        <w:t xml:space="preserve">os(as) candidatos(as) aprovados(as) em cotas para pessoas negras para a entrevista com a Comissão de heteroidentificação a ser realizada de forma virtual no dia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15/09/22, a partir das 14:00h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ANEXO III do presente edital.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4°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13 de setembro de 2022.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6h7on6IzR/RATqm2rRDUZOExw==">AMUW2mXUPInylaN0tzV1C+P1M198B+E9H18yNDZURc6pbfZP5ob2JFCguwr1e1XEW4cIao2ZDW948p72GsX593ri9MGMGLfMAe1qcE4hcylhLiX5tJAwXEU=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