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109345" cy="75755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757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5" w:lineRule="auto"/>
        <w:ind w:left="2553" w:right="2182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EDITAL Nº 03/2022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5" w:lineRule="auto"/>
        <w:ind w:left="2553" w:right="2182" w:firstLine="0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9" w:right="0" w:firstLine="0"/>
        <w:jc w:val="center"/>
        <w:rPr>
          <w:rFonts w:ascii="Trebuchet MS" w:cs="Trebuchet MS" w:eastAsia="Trebuchet MS" w:hAnsi="Trebuchet M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319" w:right="442" w:firstLine="359.00000000000006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319" w:right="442" w:firstLine="359.00000000000006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319" w:right="442" w:firstLine="359.00000000000006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DEFENSOR PÚBLICO-GERAL DO ESTADO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no uso de suas atribuições legais e tendo em vista 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resolve: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79" w:lineRule="auto"/>
        <w:ind w:left="1319" w:right="478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Art. 1. DIVULGAR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caderno de prova e gabarito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das questões objet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ivas, conforme ANEXO I e ANEXO II do presente edital. </w:t>
      </w:r>
    </w:p>
    <w:p w:rsidR="00000000" w:rsidDel="00000000" w:rsidP="00000000" w:rsidRDefault="00000000" w:rsidRPr="00000000" w14:paraId="0000000F">
      <w:pPr>
        <w:spacing w:after="0" w:before="179" w:lineRule="auto"/>
        <w:ind w:left="1319" w:right="478" w:firstLine="0"/>
        <w:jc w:val="both"/>
        <w:rPr>
          <w:rFonts w:ascii="Trebuchet MS" w:cs="Trebuchet MS" w:eastAsia="Trebuchet MS" w:hAnsi="Trebuchet M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319" w:right="47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Art. 2.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INFORMAR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que os recursos em face do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GABARITO PROVISÓRIO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deverão ser interpostos eletronicamente, nos dias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23 e 24 de maio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 2022, unicamente através do formulário acessível no endereço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1"/>
            <w:u w:val="single"/>
            <w:rtl w:val="0"/>
          </w:rPr>
          <w:t xml:space="preserve">https://forms.gle/2YckVLofcdSo1YRYA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conforme Edital de Abertura. </w:t>
      </w:r>
    </w:p>
    <w:p w:rsidR="00000000" w:rsidDel="00000000" w:rsidP="00000000" w:rsidRDefault="00000000" w:rsidRPr="00000000" w14:paraId="00000011">
      <w:pPr>
        <w:ind w:left="1319" w:right="47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319" w:right="47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13">
      <w:pPr>
        <w:ind w:left="1319" w:right="47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319" w:right="47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90" w:lineRule="auto"/>
        <w:ind w:left="1319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Art. 3.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presente Edital será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PUBLICADO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no site da DPE/MA.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6823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São Luís,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23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" w:line="274" w:lineRule="auto"/>
        <w:ind w:left="2546" w:right="2184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ALBERTO PESSOA BASTOS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4" w:lineRule="auto"/>
        <w:ind w:left="2551" w:right="2184" w:firstLine="0"/>
        <w:jc w:val="center"/>
        <w:rPr>
          <w:rFonts w:ascii="Trebuchet MS" w:cs="Trebuchet MS" w:eastAsia="Trebuchet MS" w:hAnsi="Trebuchet MS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Defensor Público-Geral do Estado do Maranhão</w:t>
      </w:r>
    </w:p>
    <w:sectPr>
      <w:pgSz w:h="16838" w:w="11906" w:orient="portrait"/>
      <w:pgMar w:bottom="280" w:top="400" w:left="38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Trebuchet MS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forms.gle/2YckVLofcdSo1Y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3l+PRpus9kAnOMpudshlfV94lw==">AMUW2mUznKnls5KCKnrrt7NfRH+owY2X0wyEqWNDpOJZsEe7y5JDswKMdZwrqIAt8X42szTZgGvdvdbFVYwsrFmHoyTrOP3OFQtWSYNzmIKZKva63Cj3qO+I564GNpHP3y8EsGWt40tu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