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1905" distT="1905" distL="116205" distR="116205" hidden="0" layoutInCell="1" locked="0" relativeHeight="0" simplePos="0">
                <wp:simplePos x="0" y="0"/>
                <wp:positionH relativeFrom="page">
                  <wp:posOffset>7013575</wp:posOffset>
                </wp:positionH>
                <wp:positionV relativeFrom="page">
                  <wp:posOffset>9538970</wp:posOffset>
                </wp:positionV>
                <wp:extent cx="635" cy="736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43460"/>
                          <a:ext cx="0" cy="73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905" distT="1905" distL="116205" distR="116205" hidden="0" layoutInCell="1" locked="0" relativeHeight="0" simplePos="0">
                <wp:simplePos x="0" y="0"/>
                <wp:positionH relativeFrom="page">
                  <wp:posOffset>7013575</wp:posOffset>
                </wp:positionH>
                <wp:positionV relativeFrom="page">
                  <wp:posOffset>9538970</wp:posOffset>
                </wp:positionV>
                <wp:extent cx="635" cy="73660"/>
                <wp:effectExtent b="0" l="0" r="0" t="0"/>
                <wp:wrapNone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73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208.0" w:type="dxa"/>
        <w:jc w:val="left"/>
        <w:tblInd w:w="117.0" w:type="dxa"/>
        <w:tblLayout w:type="fixed"/>
        <w:tblLook w:val="0000"/>
      </w:tblPr>
      <w:tblGrid>
        <w:gridCol w:w="10208"/>
        <w:tblGridChange w:id="0">
          <w:tblGrid>
            <w:gridCol w:w="10208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63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Prova - Direito (Graduação)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Direito do Consumidor, analise os itens a seguir: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2"/>
              </w:tabs>
              <w:spacing w:after="0" w:before="14" w:line="240" w:lineRule="auto"/>
              <w:ind w:left="171" w:right="0" w:hanging="118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operadora do plano de saúde tem o dever de custear as despesas de acompanhante de paciente idoso em caso de internação hospitalar.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0"/>
              </w:tabs>
              <w:spacing w:after="0" w:before="14" w:line="259" w:lineRule="auto"/>
              <w:ind w:left="54" w:right="12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recusa à cobertura médica somente enseja a reparação a título de dano moral caso reste comprovado pelo segurado o agravamento da condição de saúde.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"/>
              </w:tabs>
              <w:spacing w:after="0" w:before="0" w:line="160" w:lineRule="auto"/>
              <w:ind w:left="248" w:right="0" w:hanging="195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abusiva a negativa de custeio, pela operadora do plano de saúde, em casos de tratamento de fertilização in vitro, ainda que não exista previsão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contratual expressa.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Somente os itens I e III estão corretos.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Somente o item I está correto.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Todos os itens estão corretos.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Somente o item II está correto.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6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1"/>
            <w:gridCol w:w="486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possível afirmar que a norma infraconstitucional anterior à Constituição vigente e com ela materialmente compatível: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 acordo com o princípio do tempus regit actum, será recepcionada pela constituição mas com eficácia contida, como foi o caso do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Código Tributário Nacional.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Não será recepcionada pela constituição atual e deve ser declarada inconstitucional.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Será considerada constitucional e deve ser considerada recepcionada pela nova ordem, independentemente de compatibilidade formal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 a Constituição vigente.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Será recepcionada pelo novo texto constitucional e será plenamente eficaz, independentemente de compatibilidade formal com a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Constituição anterior, tendo em vista a possibilidade de “constitucionalidade superveniente” admitida no direito brasileiro.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36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Wesley foi acusado de ter praticado o crime de roubo em razão de ter subtraído mediante ameaça com o uso de uma arma de brinquedo o celular da vítima Catarina. Na Delegacia, o policial condutor da prisão apresentou a foto de Wesley registrada em seu celular para a vítima, a qual confirmou prontamente ter sido ele o autor do crime. Wesley nega a autoria do crime, afirmando estar trabalhando em outra localidade no momento dos fatos.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Considerando a situação apresentada e a jurisprudência dominante, aponte qual o enunciado correto.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 crime de roubo, a intimidação feita com arma de brinquedo autoriza o aumento da pena.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crime em comento deve ser desclassificado para furto, uma vez que a ameaça perpetrada com uso de arma de brinquedo não pode ser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considerada ‘grave ameaça’, elementar do ilícito do art. 157.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5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reconhecimento de pessoa, presencialmente ou por fotografia, realizado na fase do inquérito policial, apenas é apto, para identificar o réu e fixar a autoria delitiva, quando observadas as formalidades previstas no art. 226 do Código de Processo Penal e quando corroborado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por outras provas colhidas na fase judicial, sob o crivo do contraditório e da ampla defesa.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Quando houver necessidade de fazer-se o reconhecimento de pessoa, a pessoa, cujo reconhecimento se pretender, será colocada ao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lado de outras sem qualquer critério de preferência, convidando-se quem tiver de fazer o reconhecimento a apontá-la.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Mário, argentino, e Mariana, brasileira, procuram a Defensoria Pública e informam que desejam se divorciar. Casados em regime de comunhão de bens,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não possuem filhos e juntos adquiriram um apartamento localizado em São Luís/MA e uma moto. A orientação jurídica a ser prestada no caso deve ser: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competente o foro para a ação de divórcio, separação, anulação de casamento e reconhecimento ou dissolução de união estável no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domicílio da mulher.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Nenhuma das assertivas anteriores.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Para que haja a homologação do divórcio ou separação consensual, deverá igualmente haver acordo sobre a partilha de bens, pois, caso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contrário, a ação de divórcio deverá ser judicializada.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Compete à autoridade judiciária brasileira, com exclusão de qualquer outra, em divórcio, proceder à partilha de bens situados no Brasil,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ainda que o titular seja de nacionalidade estrangeira ou tenha domicílio fora do território nacional.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6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1"/>
            <w:gridCol w:w="486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 que concerne à tutela provisória e ao mandado de segurança, assinale a alternativa 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tutela provisória requerida em caráter incidental independe do pagamento de custas.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Conforme a jurisprudência do STJ e a legislação pertinente, mandado de segurança pode ser impetrado contra ato de gestão comercial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praticado por administrador de empresa pública.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vedado ao juiz conceder tutela provisória de urgência contra uma das partes sem que ela seja previamente ouvida.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teoria da encampação não pode ser aplicada no âmbito do mandado de segurança quando presentes, ainda que exista manifestação a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respeito do mérito nas informações prestadas.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7.0" w:type="dxa"/>
        <w:jc w:val="left"/>
        <w:tblInd w:w="117.0" w:type="dxa"/>
        <w:tblLayout w:type="fixed"/>
        <w:tblLook w:val="0000"/>
      </w:tblPr>
      <w:tblGrid>
        <w:gridCol w:w="485"/>
        <w:gridCol w:w="1459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1459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38" w:w="11906" w:orient="portrait"/>
          <w:pgMar w:bottom="460" w:top="1440" w:left="740" w:right="740" w:header="283" w:footer="272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5080" distT="5080" distL="5080" distR="5080" hidden="0" layoutInCell="1" locked="0" relativeHeight="0" simplePos="0">
                <wp:simplePos x="0" y="0"/>
                <wp:positionH relativeFrom="column">
                  <wp:posOffset>68580</wp:posOffset>
                </wp:positionH>
                <wp:positionV relativeFrom="paragraph">
                  <wp:posOffset>195580</wp:posOffset>
                </wp:positionV>
                <wp:extent cx="635" cy="12700"/>
                <wp:effectExtent b="0" l="0" r="0" t="0"/>
                <wp:wrapTopAndBottom distB="5080" distT="5080"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6000" y="378000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cap="flat" cmpd="sng" w="108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080" distT="5080" distL="5080" distR="5080" hidden="0" layoutInCell="1" locked="0" relativeHeight="0" simplePos="0">
                <wp:simplePos x="0" y="0"/>
                <wp:positionH relativeFrom="column">
                  <wp:posOffset>68580</wp:posOffset>
                </wp:positionH>
                <wp:positionV relativeFrom="paragraph">
                  <wp:posOffset>195580</wp:posOffset>
                </wp:positionV>
                <wp:extent cx="635" cy="12700"/>
                <wp:effectExtent b="0" l="0" r="0" t="0"/>
                <wp:wrapTopAndBottom distB="5080" distT="5080"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0" w:lineRule="auto"/>
        <w:ind w:left="10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480810" cy="635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6000" y="3780000"/>
                          <a:ext cx="6480810" cy="635"/>
                          <a:chOff x="2106000" y="3780000"/>
                          <a:chExt cx="6480000" cy="720"/>
                        </a:xfrm>
                      </wpg:grpSpPr>
                      <wpg:grpSp>
                        <wpg:cNvGrpSpPr/>
                        <wpg:grpSpPr>
                          <a:xfrm>
                            <a:off x="2106000" y="3780000"/>
                            <a:ext cx="6480000" cy="720"/>
                            <a:chOff x="0" y="-720"/>
                            <a:chExt cx="6480000" cy="72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-720"/>
                              <a:ext cx="648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48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8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80810" cy="635"/>
                <wp:effectExtent b="0" l="0" r="0" t="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8"/>
        <w:tblW w:w="9719.0" w:type="dxa"/>
        <w:jc w:val="left"/>
        <w:tblInd w:w="605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princípio da independência funcional assegura que os membros da Defensoria Pública: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devem observar obrigatoriamente a Constituição Federal, inexistindo obrigatoriedade de observância das leis ordinárias e decretos em sua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atuação;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são livres para o exercício de suas funções, não estando sujeitos a interferências de quaisquer órgãos internos ou externos.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podem propor a criação e extinção dos seus cargos;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podem atuar de acordo com sua livre consciência, não devendo ser responsabilizados pelo exercício irregular de suas funções;</w:t>
            </w:r>
          </w:p>
        </w:tc>
      </w:tr>
    </w:tbl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24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núcleo de Defesa do Consumidor da DPE/MA recebeu a denúncia que uma empresa local veiculou publicidade enganosa que continha informação parcialmente falsa, causando com isso danos a centenas de consumidores que adquiriram o produto objeto da referida publicidade. Acerca da situação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hipotética narrada e à luz da jurisprudência do STF e do STJ, assinale a alternativa correta: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caso narrado está relacionado à violação de direitos individuais homogêneos, que se caracterizam pela transindividualidade,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indivisibilidade e indeterminação de titularidade.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Defensoria Pública detém legitimidade ativa para ajuizar ação civil pública para a tutela de direitos individuais homogêneos por ser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instituição essencial à função jurisdicional e ao acesso à justiça.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competência para ajuizar ação civil pública na defesa de direitos individuais homogêneos é exclusiva do Ministério Público, devendo a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denúncia ser encaminhada à promotoria competente.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Defensoria Pública tem legitimidade para propor ação civil pública em defesa de interesses individuais homogêneos, desde que os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atingidos sejam carentes de recursos econômicos.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6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1"/>
            <w:gridCol w:w="486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a classificação das constituições, é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Para o alemão Carl Schmitt , "Constituição" seria a somatória dos fatores reais de poder dentro de uma sociedade, enquanto reflexo do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embate das forças econômicas, sociais, políticas e religiosas de um Estado.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Peter Häberle define "Constituição" como sendo uma decisão política fundamental, cuja finalidade precípua é organizar e estruturar os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elementos essenciais do Estado.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Karl Loewenstein classifica as Constituições, quanto à essência, em Normativas, Nominais e Semânticas.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Ferdinand Lassalle define a Constituição como norma positiva suprema, dentro de um sistema escalonado e hierarquizado de normas, em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que aquela serve de fundamento de validade para todas as demais.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3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Manuela (10 anos) brincava de bola na área comum do condomínio edilício onde mora com seus pais, Andreia e Victor, quando o objeto atingiu a janela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 salão de festas, danificando o vidro. De acordo com o Código Civil, assinale a única assertiva falsa: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Caberá reparação civil pelos danos causados por Manuela ao condomínio edilício.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indenização a ser paga medir-se-á pela extensão do dano.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 houver excessiva desproporção entre a gravidade da culpa e o dano, poderá o juiz reduzir, eqüitativamente, a indenização.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Os prejuízos causados devem ser ressarcidos por Manuela, ainda que estivesse sob a autoridade e em companhia de Andreia e Victor.</w:t>
            </w:r>
          </w:p>
        </w:tc>
      </w:tr>
    </w:tbl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66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razão de supostas denúncias anônimas que relatavam a ocorrência de tráfico na residência de Rosa, os policiais realizaram busca no imóvel tendo encontrado no quintal uma muda de maconha. De acordo com os depoimentos dos policiais, a entrada no domicílio teria sido autorizada por Rosa. Esta, por sua vez, afirma que estava dormindo no momento da entrada dos agentes. À luz do entendimento dos tribunais superiores sobre o tema, indique a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afirmativa incorreta.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28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Supremo Tribunal Federal definiu, em repercussão geral (Tema 280), que o ingresso forçado em domicílio sem mandado judicial apenas se revela legítimo – a qualquer hora do dia, inclusive durante o período noturno – quando amparado em fundadas razões, devidamente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justificadas pelas circunstâncias do caso concreto, que indiquem estar ocorrendo, no interior da casa, situação de flagrante delito.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21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prova da legalidade e da voluntariedade do consentimento para o ingresso na residência do suspeito incumbe, em caso de dúvida, ao Estado, e deve ser feita com declaração assinada pela pessoa que autorizou o ingresso domiciliar, indicando-se, sempre que possível,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testemunhas do ato. Em todo caso, a operação deve ser registrada em áudio-vídeo e preservada tal prova enquanto durar o processo.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8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art. 5º, XI, da Constituição Federal consagrou o direito fundamental à inviolabilidade do domicílio, ao dispor que a casa é asilo inviolável do indivíduo, ninguém nela podendo penetrar sem consentimento do morador, salvo em caso de flagrante delito ou desastre, ou para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prestar socorro, ou, durante o dia, por determinação judicial.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tráfico ilícito de entorpecentes, por ser classificado como crime de natureza permanente, autoriza a entrada sem mandado no domicílio.</w:t>
            </w:r>
          </w:p>
        </w:tc>
      </w:tr>
    </w:tbl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Jonathan, 17 anos de idade, foi apreendido levando consigo, em sua mochila, 10 ‘buchas’ de maconha. Sobre a situação narrada, marque a alternativa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ato infracional praticado por Jonathan é considerado hediondo, portanto, caso julgada procedente a ação, deverá iniciar o cumprimento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 medida em regime fechado.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Considerando a gravidade da infração praticada, Jonathan poderá ser submetido a medida de internação.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medida eventualmente aplicada a Jonathan levará em conta a sua capacidade de cumpri-la, as circunstâncias e a gravidade da infração.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Jonathan deverá ser submetido à audiência de custódia em até 24h da data da sua apreensão.</w:t>
            </w:r>
          </w:p>
        </w:tc>
      </w:tr>
    </w:tbl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34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Jorge, após assistir a entrevista de uma Defensora Pública sobre direito do consumidor, procurou a Defensoria para relatar o que segue: ao tentar matricular seu filho, Pablo, criança autista, em determinada escola privada de São Luís, a diretora informou que não havia professores especializados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para acompanhá-lo durante as aulas. Desta forma, o pedido de matrícula foi negado. No caso hipotético, a orientação adequada é: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dever exclusivamente do Estado oferecer atendimento educacional especializado aos alunos com deficiência, de modo que não há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obrigação da instituição privada aceitar a matrícula de Pablo.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escola privada não deve recusar a matrícula de Pablo pela ausência de professor/a capacitado, pois é responsabilidade dos pais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garantir e custear o acompanhamento da criança por profissional da área.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Por se tratar de escola privada, o gestor possui liberdade para recusar a matrícula de qualquer interessado, levando em consideração os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interesses do estabelecimento.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 escolas privadas têm a obrigatoriedade de ofertar atendimento educacional adequado e inclusivo a?s pessoas com deficie?ncia, não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devendo recusar a matrícula de Pablo por ser autista.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1905" distT="1905" distL="116205" distR="116205" hidden="0" layoutInCell="1" locked="0" relativeHeight="0" simplePos="0">
                <wp:simplePos x="0" y="0"/>
                <wp:positionH relativeFrom="page">
                  <wp:posOffset>7013575</wp:posOffset>
                </wp:positionH>
                <wp:positionV relativeFrom="page">
                  <wp:posOffset>9534525</wp:posOffset>
                </wp:positionV>
                <wp:extent cx="635" cy="7810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41300"/>
                          <a:ext cx="0" cy="77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905" distT="1905" distL="116205" distR="116205" hidden="0" layoutInCell="1" locked="0" relativeHeight="0" simplePos="0">
                <wp:simplePos x="0" y="0"/>
                <wp:positionH relativeFrom="page">
                  <wp:posOffset>7013575</wp:posOffset>
                </wp:positionH>
                <wp:positionV relativeFrom="page">
                  <wp:posOffset>9534525</wp:posOffset>
                </wp:positionV>
                <wp:extent cx="635" cy="78105"/>
                <wp:effectExtent b="0" l="0" r="0" t="0"/>
                <wp:wrapNone/>
                <wp:docPr id="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78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Considerando o entendimento dos Tribunais Superiores, assinale a assertiva correta: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 exceção da contravenção penal de vias de fato, as demais são perseguidas mediante ação penal pública incondicionada.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Nos crimes contra os idosos não se admite a aplicação da Lei 9.099/95.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prisão simples jamais será cumprida em regime fechado, nem mesmo por meio da regressão.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crime de injúria racial, por não ser racismo, não é imprescritível.</w:t>
            </w:r>
          </w:p>
        </w:tc>
      </w:tr>
    </w:tbl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214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Maria possui dois filhos com José. Pedro com dois anos e Samir com dezoito anos. Nenhuma das crianças possui o nome do pai no registro. Realizada sessão de conciliação na Defensoria Pública, José reconheceu apenas Pedro, tendo sido fixado alimentos em favor do infante no percentual de 15% (quinze por cento) do salário mínimo. Em relação a Samir, José solicitou a realização de exame de DNA. Sobre a situação mencionada, assinale a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alternativa incorreta.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Considerando a ausência de reconhecimento espontâneo em relação a Samir, pode ser ajuizada Ação de Reconhecimento de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Paternidade em desfavor de José.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Os alimentos acordados em relação a Pedro somente poderão ser cobrados após a homologação do acordo pelo juízo competente.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reconhecimento espontâneo de paternidade realizado por José em relação a Pedro pode ser imediatamente encaminhado ao cartório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para que sejam realizadas as averbações necessárias.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Na ação de Reconhecimento de Paternidade, Samir será a parte autora, uma vez já ter atingido a maioridade.</w:t>
            </w:r>
          </w:p>
        </w:tc>
      </w:tr>
    </w:tbl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Jéssica, sem registros criminais anteriores, foi presa em flagrante em razão de ter subtraído duas cartelas de ovo do Supermercado Compre Bem. A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respeito da audiência de custódia e da prisão cautelar, marque a afirmativa incorreta.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apresentação de Jéssica à autoridade judicial competente deve acontecer em até 24 horas da comunicação do flagrante.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Antes da audiência de custódia, Jéssica tem o direito de ser atendida prévia e reservadamente por um defensor público, sem a presença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 agentes policiais.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defesa de Jéssica poderá pleitear a concessão de liberdade provisória com fundamento na ausência de violência ou grave ameaça e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inexistência de registros criminais.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Na audiência de custódia, Jéssica deverá ser ouvida sobre os fatos e as circunstâncias em que se realizou sua prisão ou apreensão.</w:t>
            </w:r>
          </w:p>
        </w:tc>
      </w:tr>
    </w:tbl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Fátima, mulher trans, 19 anos, procurou a Defensoria Pública relatando que deseja alterar seu prenome e gênero em sua documentação. Contudo, ao chegar no Cartório, foi informada que deveria ajuizar uma ação de retificação de registro, pois a alteração extrajudicial somente pode ser realizada nos casos em que há comprovação da cirurgia de readequação sexual. Considerando as informações prestadas, marque a alternativa que indica a orientação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ser prestada para Maria: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Maria deve esperar até os 21 anos para solicitar judicialmente a retificação do seu registro.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cartório não pode negar a alteração da retificação extrajudicial de Maria, conforme provimento do CNJ. Cabe assim, oficiar o cartório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solicitando esclarecimentos e, em caso de recusa, apresentar um Pedido de Providências 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Deve ser ajuizada a ação de alteração de registro, uma vez que Maria não realizou a cirurgia de readequação sexual.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cartório não pode negar a alteração da retificação extrajudicial, inclusive de menores de 18 (dezoito) anos.</w:t>
            </w:r>
          </w:p>
        </w:tc>
      </w:tr>
    </w:tbl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filho de Amanda, Paulo, faleceu em razão da pandemia de COVID-19. Em razão disso, a mesma pretende criar uma fundação em sua memória. A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respeito das fundações, assinale a alternativa incorreta: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 o estatuto não for elaborado no prazo assinado pelo instituidor, ou, não havendo prazo, em cento e oitenta dias, a incumbência caberá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ao Ministério Público.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Amanda poderá constituir a fundação através da dotação especial de bens livres, especificando o fim a que se destina.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 momento da constituição da fundação, Amanda deverá obrigatoriamente declarar a maneira de administrá-la.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fundação constituída em memória de Paulo poderá ter como fim a assistência social.</w:t>
            </w:r>
          </w:p>
        </w:tc>
      </w:tr>
    </w:tbl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74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Lucas, pai de Lara (5 anos) e Jade (7 anos), acredita que as vacinas são nocivas para suas filhas e optou por não realizar a imunização das crianças, conforme previsto no calendário nacional de vacional. Após saber que a escola das suas filhas reportou ao Conselho Tutelar que Lara e Jade não foram vacinadas, Lucas procurou a Defensoria Pública para que fosse ajuizada ação alegando o seu direito de não vacinar as filhas. Na situação narrada, a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orientação adequada deve ser: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legítima a recusa de Lucas em vacinar as filhas, pois se trata do exercício do seu poder parental.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ilegítima a recusa de Lucas em vacinar as filhas, em que pese não existir previsão da obrigatoriedade em diplomas legai.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legítima a recusa de Lucas em vacinar as filhas, em respeito à sua convicção filosófica.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ilegítima a recusa de Lucas em vacinar as filhas, pois não se caracteriza violação à liberdade de consciência e de convicção filosófica do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pai, nem tampouco ao poder familiar.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207.0" w:type="dxa"/>
        <w:jc w:val="left"/>
        <w:tblInd w:w="117.0" w:type="dxa"/>
        <w:tblLayout w:type="fixed"/>
        <w:tblLook w:val="0000"/>
      </w:tblPr>
      <w:tblGrid>
        <w:gridCol w:w="485"/>
        <w:gridCol w:w="1459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1459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19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5">
      <w:pPr>
        <w:rPr/>
        <w:sectPr>
          <w:headerReference r:id="rId13" w:type="default"/>
          <w:footerReference r:id="rId14" w:type="default"/>
          <w:type w:val="nextPage"/>
          <w:pgSz w:h="16838" w:w="11906" w:orient="portrait"/>
          <w:pgMar w:bottom="460" w:top="144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0" w:lineRule="auto"/>
        <w:ind w:left="10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480810" cy="635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6000" y="3780000"/>
                          <a:ext cx="6480810" cy="635"/>
                          <a:chOff x="2106000" y="3780000"/>
                          <a:chExt cx="6480000" cy="720"/>
                        </a:xfrm>
                      </wpg:grpSpPr>
                      <wpg:grpSp>
                        <wpg:cNvGrpSpPr/>
                        <wpg:grpSpPr>
                          <a:xfrm>
                            <a:off x="2106000" y="3780000"/>
                            <a:ext cx="6480000" cy="720"/>
                            <a:chOff x="0" y="-720"/>
                            <a:chExt cx="6480000" cy="72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-720"/>
                              <a:ext cx="648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48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8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80810" cy="635"/>
                <wp:effectExtent b="0" l="0" r="0" 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2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frase “ninguém será processado nem sentenciado senão pela autoridade competente” diz respeito ao princípio: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Impessoalidade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Juiz Natural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Defensor Natural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Legalidade</w:t>
            </w:r>
          </w:p>
        </w:tc>
      </w:tr>
    </w:tbl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208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9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9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20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3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Marcos pretende comprar uma casa de David. Sobre o contrato de compra e venda, assinale a assertiva 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compra e venda, quando pura, considerar-se-á obrigatória e perfeita, desde que Marcos e David registrem o contrato em cartório.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válido o contrato de compra e venda, quando se deixa ao arbítrio exclusivo de uma das partes a fixação do preço.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Pelo contrato de compra e venda, David se obrigará a transferir o domínio da casa, e Marcos, a pagar-lhe certo preço em dinheiro.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ilícito às partes fixar o preço em função de índices ou parâmetros, desde que suscetíveis de objetiva determinação.</w:t>
            </w:r>
          </w:p>
        </w:tc>
      </w:tr>
    </w:tbl>
    <w:p w:rsidR="00000000" w:rsidDel="00000000" w:rsidP="00000000" w:rsidRDefault="00000000" w:rsidRPr="00000000" w14:paraId="000005CE">
      <w:pPr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type w:val="nextPage"/>
      <w:pgSz w:h="16838" w:w="11906" w:orient="portrait"/>
      <w:pgMar w:bottom="460" w:top="1440" w:left="740" w:right="740" w:header="283" w:footer="27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Noto Sans Symbol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7845" cy="13462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081840" y="3717453"/>
                        <a:ext cx="528320" cy="1250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1 /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7845" cy="134620"/>
              <wp:effectExtent b="0" l="0" r="0" t="0"/>
              <wp:wrapNone/>
              <wp:docPr id="2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845" cy="134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1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081760" y="3717540"/>
                        <a:ext cx="528480" cy="12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2 /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27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480" cy="135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2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081760" y="3717540"/>
                        <a:ext cx="528480" cy="12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4 /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480" cy="135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C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3336925</wp:posOffset>
          </wp:positionH>
          <wp:positionV relativeFrom="page">
            <wp:posOffset>151130</wp:posOffset>
          </wp:positionV>
          <wp:extent cx="899795" cy="620395"/>
          <wp:effectExtent b="0" l="0" r="0" t="0"/>
          <wp:wrapNone/>
          <wp:docPr id="3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3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2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71" w:hanging="116.99999999999997"/>
      </w:pPr>
      <w:rPr>
        <w:rFonts w:ascii="Arial MT" w:cs="Arial MT" w:eastAsia="Arial MT" w:hAnsi="Arial MT"/>
        <w:sz w:val="14"/>
        <w:szCs w:val="14"/>
      </w:rPr>
    </w:lvl>
    <w:lvl w:ilvl="1">
      <w:start w:val="0"/>
      <w:numFmt w:val="bullet"/>
      <w:lvlText w:val="●"/>
      <w:lvlJc w:val="left"/>
      <w:pPr>
        <w:ind w:left="1133" w:hanging="117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86" w:hanging="117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039" w:hanging="117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992" w:hanging="117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946" w:hanging="117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899" w:hanging="117.0000000000009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852" w:hanging="117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805" w:hanging="117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>
      <w:spacing w:after="0" w:before="10"/>
    </w:pPr>
    <w:rPr>
      <w:rFonts w:ascii="Arial MT" w:cs="Arial MT" w:eastAsia="Arial MT" w:hAnsi="Arial MT"/>
      <w:sz w:val="14"/>
      <w:szCs w:val="14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after="0" w:before="7" w:line="151" w:lineRule="exact"/>
    </w:pPr>
    <w:rPr>
      <w:rFonts w:ascii="Arial MT" w:cs="Arial MT" w:eastAsia="Arial MT" w:hAnsi="Arial MT"/>
      <w:lang w:bidi="ar-SA" w:eastAsia="en-US" w:val="pt-PT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header" Target="header2.xml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image" Target="media/image6.png"/><Relationship Id="rId14" Type="http://schemas.openxmlformats.org/officeDocument/2006/relationships/footer" Target="footer2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rb/IzJZ7BfBRByfLjp7ZzV4/KQ==">AMUW2mU+tv8m+ZS/DCX4uWn4pmzKuNe183Z8WNZ/ETKQ8w+YWxuoqbRUQAfS3gmcTJXrs/m5Tn/iWOGUl5bTcABl3dg32sA0Dk3X9dFOqkuFVtIfKwD/WRE6DYefFmzUo4I5kdDY2FiN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2022-05-22T22:23:37Z</dcterms:created>
  <dc:creator>DPEMA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2022-05-22T00:00:00Z</vt:filetime>
  </property>
  <property fmtid="{D5CDD505-2E9C-101B-9397-08002B2CF9AE}" pid="3" name="Creator">
    <vt:lpwstr>TCExam ver.14.8.5</vt:lpwstr>
  </property>
  <property fmtid="{D5CDD505-2E9C-101B-9397-08002B2CF9AE}" pid="4" name="LastSaved">
    <vt:filetime>2022-05-22T00:00:00Z</vt:filetime>
  </property>
</Properties>
</file>