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bl>
      <w:tblPr>
        <w:tblStyle w:val="Table1"/>
        <w:tblW w:w="10208.0" w:type="dxa"/>
        <w:jc w:val="left"/>
        <w:tblInd w:w="117.0" w:type="dxa"/>
        <w:tblLayout w:type="fixed"/>
        <w:tblLook w:val="0000"/>
      </w:tblPr>
      <w:tblGrid>
        <w:gridCol w:w="10208"/>
        <w:tblGridChange w:id="0">
          <w:tblGrid>
            <w:gridCol w:w="10208"/>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163" w:lineRule="auto"/>
              <w:ind w:left="54"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Prova Direito Pós Graduação</w:t>
            </w:r>
          </w:p>
        </w:tc>
      </w:tr>
    </w:tbl>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2"/>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16"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72" w:right="467"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8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2"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3"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69" w:right="468"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98"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Sobre o instituto Usucapião Urbano, marque a assertiva INCORRETA: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5" w:right="0"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Esse direito pode ser reconhecido ao mesmo possuidor mais de uma vez.</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Aquele que possuir como sua área urbana até duzentos e cinquenta metros quadrados, por cinco anos, ininterruptamente e sem oposição,</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utilizando-a para sua moradia, adquirir-lhe-á o domínio, desde que não seja proprietário de outro imóvel urbano ou rural.</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 destinação de parte do imóvel residencial para fins comerciais não impede o reconhecimento da usucapião especial urbana sobre a</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totalidade da área.</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O instituto do usucapião urbano também se aplica a apartamentos em condomínios residenciais.</w:t>
            </w:r>
          </w:p>
        </w:tc>
      </w:tr>
    </w:tbl>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3"/>
        <w:tblW w:w="10207.0" w:type="dxa"/>
        <w:jc w:val="left"/>
        <w:tblInd w:w="120.0" w:type="dxa"/>
        <w:tblLayout w:type="fixed"/>
        <w:tblLook w:val="0000"/>
      </w:tblPr>
      <w:tblGrid>
        <w:gridCol w:w="485"/>
        <w:gridCol w:w="486"/>
        <w:gridCol w:w="486"/>
        <w:gridCol w:w="1"/>
        <w:gridCol w:w="485"/>
        <w:gridCol w:w="1459"/>
        <w:gridCol w:w="1943"/>
        <w:gridCol w:w="1944"/>
        <w:gridCol w:w="1460"/>
        <w:gridCol w:w="1458"/>
        <w:tblGridChange w:id="0">
          <w:tblGrid>
            <w:gridCol w:w="485"/>
            <w:gridCol w:w="486"/>
            <w:gridCol w:w="486"/>
            <w:gridCol w:w="1"/>
            <w:gridCol w:w="485"/>
            <w:gridCol w:w="1459"/>
            <w:gridCol w:w="1943"/>
            <w:gridCol w:w="1944"/>
            <w:gridCol w:w="1460"/>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16"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2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72" w:right="467"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8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2"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3"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69" w:right="468"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98"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520"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9" w:lineRule="auto"/>
              <w:ind w:left="54" w:right="89"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Mário convence Juliana, estagiária de Direito da Defensoria Pública, a valer-se da facilidade proporcionada pela função exercida e autorizar seu acesso à sede da Instituição. Mário e Juliana ingressam no prédio, utilizando a digital da estagiária, e subtraem uma impressora e um notebook da recepção.</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5.9999999999999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Conforme o exposto:</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Mário e Juliana responderão por peculato, uma vez que é irrelevante a condição de funcionário público para a caracterização do delito.</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5" w:right="0"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Mário e Juliana responderão pelo delito de peculato, uma vez que a condição de funcionário público do agente corresponde a</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circunstância inerente ao tipo penal, que se comunica ao extraneus.</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vMerge w:val="restart"/>
            <w:tcBorders>
              <w:right w:color="000000" w:space="0" w:sz="4"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Para fins penais, Juliana não pode ser considerada funcionária pública.</w:t>
            </w:r>
          </w:p>
        </w:tc>
      </w:tr>
      <w:tr>
        <w:trPr>
          <w:cantSplit w:val="0"/>
          <w:trHeight w:val="178" w:hRule="atLeast"/>
          <w:tblHeader w:val="0"/>
        </w:trPr>
        <w:tc>
          <w:tcPr>
            <w:vMerge w:val="continue"/>
            <w:tcBorders>
              <w:right w:color="000000" w:space="0" w:sz="4"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Somente Juliana responderá pelo delito de peculato, por se tratar de delito próprio. Mário responderá somente por furto.</w:t>
            </w:r>
          </w:p>
        </w:tc>
      </w:tr>
    </w:tbl>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4"/>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16"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3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72" w:right="467"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8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2"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3"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69" w:right="468"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98"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Sobre o que dispõe o Código de Processo Civil, marque a alternativa 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5" w:right="0"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Ao aplicar o ordenamento jurídico, o juiz atenderá aos fins sociais e às exigências do bem comum, resguardando e promovendo a</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dignidade da pessoa humana e observando a proporcionalidade, a razoabilidade, a legalidade, a publicidade e a eficiência.</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Em observância ao princípio da paridade das partes, não se proferirá decisão contra uma das partes sem que ela seja previamente ouvida</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em qualquer hipótese.</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vMerge w:val="restart"/>
            <w:tcBorders>
              <w:right w:color="000000" w:space="0" w:sz="4"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 cooperação processual e a exigência de comportamento com boa-fé são princípios que se aplicam somente às partes.</w:t>
            </w:r>
          </w:p>
        </w:tc>
      </w:tr>
      <w:tr>
        <w:trPr>
          <w:cantSplit w:val="0"/>
          <w:trHeight w:val="178" w:hRule="atLeast"/>
          <w:tblHeader w:val="0"/>
        </w:trPr>
        <w:tc>
          <w:tcPr>
            <w:vMerge w:val="continue"/>
            <w:tcBorders>
              <w:right w:color="000000" w:space="0" w:sz="4" w:val="single"/>
            </w:tcBorders>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O interesse do/a autor/a não pode se limitar à declaração de existência ou inexistência de uma relação jurídica.</w:t>
            </w:r>
          </w:p>
        </w:tc>
      </w:tr>
    </w:tbl>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5"/>
        <w:tblW w:w="10207.0" w:type="dxa"/>
        <w:jc w:val="left"/>
        <w:tblInd w:w="120.0" w:type="dxa"/>
        <w:tblLayout w:type="fixed"/>
        <w:tblLook w:val="0000"/>
      </w:tblPr>
      <w:tblGrid>
        <w:gridCol w:w="485"/>
        <w:gridCol w:w="486"/>
        <w:gridCol w:w="486"/>
        <w:gridCol w:w="1"/>
        <w:gridCol w:w="485"/>
        <w:gridCol w:w="1459"/>
        <w:gridCol w:w="1943"/>
        <w:gridCol w:w="1944"/>
        <w:gridCol w:w="1460"/>
        <w:gridCol w:w="1458"/>
        <w:tblGridChange w:id="0">
          <w:tblGrid>
            <w:gridCol w:w="485"/>
            <w:gridCol w:w="486"/>
            <w:gridCol w:w="486"/>
            <w:gridCol w:w="1"/>
            <w:gridCol w:w="485"/>
            <w:gridCol w:w="1459"/>
            <w:gridCol w:w="1943"/>
            <w:gridCol w:w="1944"/>
            <w:gridCol w:w="1460"/>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16"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4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72" w:right="467"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8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2"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3"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69" w:right="468"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98"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345"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Considerando a Lei Maria da Penha (Lei nº 11.340/2006) e a jurisprudência dos Tribunais Superiores sobre a violência doméstica e familiar contra a</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mulher, marque a alternativa INCORRETA: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É constitucional o art. 12-C da Lei Maria da Penha que autoriza, em algumas hipóteses, a aplicação, pela autoridade policial, de medida</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protetiva de urgência em favor da mulher.</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5" w:right="0"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Não se aplica a Lei Maria da Penha no caso de violência do neto praticada contra a avó, ainda que constatada situação de</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vulnerabilidade.</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vMerge w:val="restart"/>
            <w:tcBorders>
              <w:right w:color="000000" w:space="0" w:sz="4" w:val="single"/>
            </w:tcBorders>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É possível aplicar a suspensão condicional da pena aos crimes e às contravenções penais praticados em contexto de violência doméstica.</w:t>
            </w:r>
          </w:p>
        </w:tc>
      </w:tr>
      <w:tr>
        <w:trPr>
          <w:cantSplit w:val="0"/>
          <w:trHeight w:val="178" w:hRule="atLeast"/>
          <w:tblHeader w:val="0"/>
        </w:trPr>
        <w:tc>
          <w:tcPr>
            <w:vMerge w:val="continue"/>
            <w:tcBorders>
              <w:right w:color="000000" w:space="0" w:sz="4" w:val="single"/>
            </w:tcBorders>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Não cabe o arbitramento de aluguel em desfavor da coproprietária vítima de violência doméstica, que, em razão de medida protetiva de</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urgência decretada judicialmente, detém o uso e gozo exclusivo do imóvel de cotitularidade do agressor.</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bl>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6"/>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16"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5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72" w:right="467"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8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2"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3"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69" w:right="468"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98"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Quanto aos crimes resultantes de preconceito de raça ou de cor, é correto afirmar que</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5" w:right="0"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O crime de injúria racial é imprescritível.</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O racismo se trata de crime de ação penal pública condicionada à representação da vítima.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 Lei nº 7.716/1989 prevê a modalidade culposa dos crimes ali dispostos;</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 incitação ao ódio público contra quaisquer denominações religiosas está protegida pela cláusula constitucional que assegura a liberdade</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de expressão e é inerente à prática religiosa;</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bl>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7"/>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16"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6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72" w:right="467"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8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2"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3"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69" w:right="468"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98"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Sobre as relações de consumo, marque a alternativa 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5" w:right="0"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É vedada, na publicidade comercial, a comparação que não tem suporte em dados comprováveis, porque viola o direito do consumidor a</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receber informação correta e verdadeira sobre o produto ou serviço comparado.</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Os fornecedores de produtos de consumo duráveis ou não duráveis respondem subsidiariamente pelos vícios de qualidade ou quantidade</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que os tornem impróprios ou inadequados ao consumo a que se destinam ou lhes diminuam o valor;</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vMerge w:val="restart"/>
            <w:tcBorders>
              <w:right w:color="000000" w:space="0" w:sz="4" w:val="single"/>
            </w:tcBorders>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O Consumidor é somente a pessoa pessoa física que adquire ou utiliza produto ou serviço como destinatário intermediário ou final;</w:t>
            </w:r>
          </w:p>
        </w:tc>
      </w:tr>
      <w:tr>
        <w:trPr>
          <w:cantSplit w:val="0"/>
          <w:trHeight w:val="178" w:hRule="atLeast"/>
          <w:tblHeader w:val="0"/>
        </w:trPr>
        <w:tc>
          <w:tcPr>
            <w:vMerge w:val="continue"/>
            <w:tcBorders>
              <w:right w:color="000000" w:space="0" w:sz="4" w:val="single"/>
            </w:tcBorders>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É proibida a publicidade de bens e serviços por telefone, ainda que a chamada seja gratuita ao consumidor.</w:t>
            </w:r>
          </w:p>
        </w:tc>
      </w:tr>
    </w:tbl>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8"/>
        <w:tblW w:w="10205.0" w:type="dxa"/>
        <w:jc w:val="left"/>
        <w:tblInd w:w="117.0" w:type="dxa"/>
        <w:tblLayout w:type="fixed"/>
        <w:tblLook w:val="0000"/>
      </w:tblPr>
      <w:tblGrid>
        <w:gridCol w:w="485"/>
        <w:gridCol w:w="1459"/>
        <w:gridCol w:w="1457"/>
        <w:gridCol w:w="1944"/>
        <w:gridCol w:w="1945"/>
        <w:gridCol w:w="1457"/>
        <w:gridCol w:w="1458"/>
        <w:tblGridChange w:id="0">
          <w:tblGrid>
            <w:gridCol w:w="485"/>
            <w:gridCol w:w="1459"/>
            <w:gridCol w:w="1457"/>
            <w:gridCol w:w="1944"/>
            <w:gridCol w:w="1945"/>
            <w:gridCol w:w="1457"/>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16"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7 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72" w:right="467"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8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2"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3"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69" w:right="468"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98"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sectPr>
          <w:headerReference r:id="rId7" w:type="default"/>
          <w:footerReference r:id="rId8" w:type="default"/>
          <w:pgSz w:h="16838" w:w="11906" w:orient="portrait"/>
          <w:pgMar w:bottom="460" w:top="1400" w:left="740" w:right="740" w:header="283" w:footer="272"/>
          <w:pgNumType w:start="1"/>
        </w:sectPr>
      </w:pPr>
      <w:r w:rsidDel="00000000" w:rsidR="00000000" w:rsidRPr="00000000">
        <w:rPr>
          <w:rtl w:val="0"/>
        </w:rPr>
      </w:r>
      <w:r w:rsidDel="00000000" w:rsidR="00000000" w:rsidRPr="00000000">
        <mc:AlternateContent>
          <mc:Choice Requires="wps">
            <w:drawing>
              <wp:anchor allowOverlap="1" behindDoc="0" distB="5080" distT="5080" distL="5080" distR="5080" hidden="0" layoutInCell="1" locked="0" relativeHeight="0" simplePos="0">
                <wp:simplePos x="0" y="0"/>
                <wp:positionH relativeFrom="column">
                  <wp:posOffset>68580</wp:posOffset>
                </wp:positionH>
                <wp:positionV relativeFrom="paragraph">
                  <wp:posOffset>132080</wp:posOffset>
                </wp:positionV>
                <wp:extent cx="635" cy="12700"/>
                <wp:effectExtent b="0" l="0" r="0" t="0"/>
                <wp:wrapTopAndBottom distB="5080" distT="5080"/>
                <wp:docPr id="20" name=""/>
                <a:graphic>
                  <a:graphicData uri="http://schemas.microsoft.com/office/word/2010/wordprocessingShape">
                    <wps:wsp>
                      <wps:cNvCnPr/>
                      <wps:spPr>
                        <a:xfrm>
                          <a:off x="2106000" y="3780000"/>
                          <a:ext cx="6480000" cy="0"/>
                        </a:xfrm>
                        <a:prstGeom prst="straightConnector1">
                          <a:avLst/>
                        </a:prstGeom>
                        <a:noFill/>
                        <a:ln cap="flat" cmpd="sng" w="108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5080" distT="5080" distL="5080" distR="5080" hidden="0" layoutInCell="1" locked="0" relativeHeight="0" simplePos="0">
                <wp:simplePos x="0" y="0"/>
                <wp:positionH relativeFrom="column">
                  <wp:posOffset>68580</wp:posOffset>
                </wp:positionH>
                <wp:positionV relativeFrom="paragraph">
                  <wp:posOffset>132080</wp:posOffset>
                </wp:positionV>
                <wp:extent cx="635" cy="12700"/>
                <wp:effectExtent b="0" l="0" r="0" t="0"/>
                <wp:wrapTopAndBottom distB="5080" distT="5080"/>
                <wp:docPr id="2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35" cy="12700"/>
                        </a:xfrm>
                        <a:prstGeom prst="rect"/>
                        <a:ln/>
                      </pic:spPr>
                    </pic:pic>
                  </a:graphicData>
                </a:graphic>
              </wp:anchor>
            </w:drawing>
          </mc:Fallback>
        </mc:AlternateConten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tbl>
      <w:tblPr>
        <w:tblStyle w:val="Table9"/>
        <w:tblW w:w="9719.0" w:type="dxa"/>
        <w:jc w:val="left"/>
        <w:tblInd w:w="605.0" w:type="dxa"/>
        <w:tblLayout w:type="fixed"/>
        <w:tblLook w:val="0000"/>
      </w:tblPr>
      <w:tblGrid>
        <w:gridCol w:w="485"/>
        <w:gridCol w:w="486"/>
        <w:gridCol w:w="8748"/>
        <w:tblGridChange w:id="0">
          <w:tblGrid>
            <w:gridCol w:w="485"/>
            <w:gridCol w:w="486"/>
            <w:gridCol w:w="8748"/>
          </w:tblGrid>
        </w:tblGridChange>
      </w:tblGrid>
      <w:tr>
        <w:trPr>
          <w:cantSplit w:val="0"/>
          <w:trHeight w:val="347" w:hRule="atLeast"/>
          <w:tblHeader w:val="0"/>
        </w:trPr>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Sobre a evolução do reconhecimento de direitos ao grupo vulnerável constituído por pessoas lésbicas, gays, bissexuais, transexuais, travestis e</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transgêneros (LGBT), é INCORRETO afirmar que:</w:t>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Segundo o STF, a compreensão de que as práticas homofóbicas configuram racismo social não ofendem a liberdade religiosa, que é</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consagrada constitucionalmente.</w:t>
            </w:r>
          </w:p>
        </w:tc>
      </w:tr>
      <w:tr>
        <w:trPr>
          <w:cantSplit w:val="0"/>
          <w:trHeight w:val="156" w:hRule="atLeast"/>
          <w:tblHeader w:val="0"/>
        </w:trPr>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2</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O direito dos transexuais à retificação do prenome e do sexo/gênero no registro civil não é condicionado à exigência de realização da</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cirurgia de transgenitalização.</w:t>
            </w:r>
          </w:p>
        </w:tc>
      </w:tr>
      <w:tr>
        <w:trPr>
          <w:cantSplit w:val="0"/>
          <w:trHeight w:val="156" w:hRule="atLeast"/>
          <w:tblHeader w:val="0"/>
        </w:trPr>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5" w:right="0"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 alteração de prenome do transgênero deve ser realizada exclusivamente pela via judicial, por se tratar de alteração de registro público;</w:t>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4</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9" w:lineRule="auto"/>
              <w:ind w:left="54" w:right="126"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O Supremo Tribunal Federal reconhece como válida e com os efeitos de entidade familiar a união estável entre pessoas do mesmo sexo, de modo os cartórios do Brasil não poderão recusar a celebração de casamentos civis de casais do mesmo sexo, ou deixar de converter</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5.9999999999999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em casamento união estável homoafetiva.</w:t>
            </w:r>
          </w:p>
        </w:tc>
      </w:tr>
      <w:tr>
        <w:trPr>
          <w:cantSplit w:val="0"/>
          <w:trHeight w:val="331" w:hRule="atLeast"/>
          <w:tblHeader w:val="0"/>
        </w:trPr>
        <w:tc>
          <w:tcPr>
            <w:gridSpan w:val="2"/>
            <w:tcBorders>
              <w:top w:color="000000" w:space="0" w:sz="4" w:val="single"/>
              <w:right w:color="000000" w:space="0" w:sz="4" w:val="single"/>
            </w:tcBorders>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10"/>
        <w:tblW w:w="10207.0" w:type="dxa"/>
        <w:jc w:val="left"/>
        <w:tblInd w:w="120.0" w:type="dxa"/>
        <w:tblLayout w:type="fixed"/>
        <w:tblLook w:val="0000"/>
      </w:tblPr>
      <w:tblGrid>
        <w:gridCol w:w="485"/>
        <w:gridCol w:w="486"/>
        <w:gridCol w:w="486"/>
        <w:gridCol w:w="487"/>
        <w:gridCol w:w="1458"/>
        <w:gridCol w:w="1944"/>
        <w:gridCol w:w="1945"/>
        <w:gridCol w:w="1458"/>
        <w:gridCol w:w="1458"/>
        <w:tblGridChange w:id="0">
          <w:tblGrid>
            <w:gridCol w:w="485"/>
            <w:gridCol w:w="486"/>
            <w:gridCol w:w="486"/>
            <w:gridCol w:w="487"/>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16"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8 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72" w:right="467"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8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2"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3"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69" w:right="468"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98"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De acordo com o Código de Processo Penal, o juiz deverá absolver sumariamente o acusado no processo penal quando verificar, EXCETO:</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 existência manifesta de causa excludente da ilicitude do fato;</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5" w:right="0"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2</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Falta de justa causa para o exercício da ação penal;</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3</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Que o fato narrado evidentemente não constitui crime</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4</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Extinta a punibilidade do agente;</w:t>
            </w:r>
          </w:p>
        </w:tc>
      </w:tr>
    </w:tbl>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11"/>
        <w:tblW w:w="10207.0" w:type="dxa"/>
        <w:jc w:val="left"/>
        <w:tblInd w:w="120.0" w:type="dxa"/>
        <w:tblLayout w:type="fixed"/>
        <w:tblLook w:val="0000"/>
      </w:tblPr>
      <w:tblGrid>
        <w:gridCol w:w="485"/>
        <w:gridCol w:w="486"/>
        <w:gridCol w:w="486"/>
        <w:gridCol w:w="1"/>
        <w:gridCol w:w="485"/>
        <w:gridCol w:w="1459"/>
        <w:gridCol w:w="1943"/>
        <w:gridCol w:w="1944"/>
        <w:gridCol w:w="1460"/>
        <w:gridCol w:w="1458"/>
        <w:tblGridChange w:id="0">
          <w:tblGrid>
            <w:gridCol w:w="485"/>
            <w:gridCol w:w="486"/>
            <w:gridCol w:w="486"/>
            <w:gridCol w:w="1"/>
            <w:gridCol w:w="485"/>
            <w:gridCol w:w="1459"/>
            <w:gridCol w:w="1943"/>
            <w:gridCol w:w="1944"/>
            <w:gridCol w:w="1460"/>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16"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9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72" w:right="467"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8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2"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3"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69" w:right="468"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98"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870"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9" w:lineRule="auto"/>
              <w:ind w:left="54" w:right="73"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Maria procura a Defensoria Pública relatando o que segue: Maria se relacionou casualmente com João pelo período de um mês. Três meses após o término da relação, Maria descobriu estar grávida. Relata que tem certeza de que o filho esperado é de João. Depois de procurá-lo para solicitar a divisão dos gastos decorrentes da gravidez, João disse que somente iria ajudar Maria financeiramente após a realização de um exame de DNA. Maria também informa que possui fotos, conversas e testemunhas que podem comprovar a existência de uma relação amorosa entre ambos. À luz da narrativa de Maria</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e da propositura da Ação de Alimentos Gravídicos pela Defensoria Pública: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5" w:right="0"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Após a citação, João terá o prazo de 5 (cinco) dias para apresentar resposta à Ação de Alimentos Gravídicos.</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Nenhuma das alternativas anteriores.</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Os alimentos gravídicos serão concedidos se Maria comprovar a existência de uma relação estável ou casamento com João, uma vez que</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 presunção de paternidade somente se aplica nessas hipóteses;</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Após o nascimento da criança, o pagamento dos alimentos gravídicos é automaticamente suspenso e Maria deve retornar à Defensoria</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Pública para dar entrada em um Ação de Alimentos;</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bl>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12"/>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39"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10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72" w:right="467"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8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2"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3"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69" w:right="468"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98"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Sobre o princípio da insignificância, assinale a alternativa INCORRETA: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O princípio da insignificância é causa supra legal extintiva da tipicidade;</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 jurisprudência brasileira admite a aplicação do princípio da insignificância aos atos infracionais;</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5" w:right="0"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 apreensão de pequenas quantidades de munição, desacompanhadas da arma, afasta a aplicação do princípio da insignificância.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9" w:lineRule="auto"/>
              <w:ind w:left="54" w:right="602"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Para a incidência do Princípio da Insignificância, a conduta do agente deve estar acompanhada dos seguintes elementos: mínima ofensividade da conduta do agente, nenhuma periculosidade social da ação, reduzidíssimo grau de reprovabilidade da conduta e</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5.9999999999999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inexpressividade da lesão jurídica provocada;</w:t>
            </w:r>
          </w:p>
        </w:tc>
      </w:tr>
      <w:tr>
        <w:trPr>
          <w:cantSplit w:val="0"/>
          <w:trHeight w:val="331" w:hRule="atLeast"/>
          <w:tblHeader w:val="0"/>
        </w:trPr>
        <w:tc>
          <w:tcPr>
            <w:gridSpan w:val="4"/>
            <w:tcBorders>
              <w:right w:color="000000" w:space="0" w:sz="4" w:val="single"/>
            </w:tcBorders>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13"/>
        <w:tblW w:w="10207.0" w:type="dxa"/>
        <w:jc w:val="left"/>
        <w:tblInd w:w="120.0" w:type="dxa"/>
        <w:tblLayout w:type="fixed"/>
        <w:tblLook w:val="0000"/>
      </w:tblPr>
      <w:tblGrid>
        <w:gridCol w:w="485"/>
        <w:gridCol w:w="486"/>
        <w:gridCol w:w="486"/>
        <w:gridCol w:w="1"/>
        <w:gridCol w:w="485"/>
        <w:gridCol w:w="1459"/>
        <w:gridCol w:w="1943"/>
        <w:gridCol w:w="1944"/>
        <w:gridCol w:w="1460"/>
        <w:gridCol w:w="1458"/>
        <w:tblGridChange w:id="0">
          <w:tblGrid>
            <w:gridCol w:w="485"/>
            <w:gridCol w:w="486"/>
            <w:gridCol w:w="486"/>
            <w:gridCol w:w="1"/>
            <w:gridCol w:w="485"/>
            <w:gridCol w:w="1459"/>
            <w:gridCol w:w="1943"/>
            <w:gridCol w:w="1944"/>
            <w:gridCol w:w="1460"/>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39"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11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72" w:right="467"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8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2"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3"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69" w:right="468"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98"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870"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9" w:lineRule="auto"/>
              <w:ind w:left="54" w:right="106"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Joana procurou a Defensoria Pública para ajuizamento de Ação de Reintegração de Posse. Ao ser atendida, informou não possuir outro bem além do imóvel requerido, bem como receber mensalmente um salário mínimo. Ao ajuizar a Ação, o/a Defensor/a Público/a pediu a gratuidade das custas judiciais, por se tratar de assistida hipossuficiente. Contudo, o juiz indeferiu o pedido de gratuidade, sob o argumento de que não restou comprovado a hipossuficiência da autora e determinou que as custas e demais despesas do processo fossem recolhidas ao final pela demandante. Contra a decisão,</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caberá à Defensoria: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Impetrar um Mandado de Segurança, ante a violação de direito líquido e certo da Autora ao benefício da justiça gratuita;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5" w:right="0"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Interpor Agravo de Instrumento em face da decisão interlocutória proferida pelo juiz;</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Aguardar até que seja proferida a sentença, pois o indeferimento de justiça gratuita somente pode ser impugnado como preliminar em</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apelação.</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Cabe tão somente peticionar requerendo a reconsideração da decisão, ante a inexistência de recurso típico para impugnação desta</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decisão.</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bl>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14"/>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39"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12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72" w:right="467"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8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2"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3"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69" w:right="468"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98"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Acerca da prisão domiciliar, prevista no CPP, assinale a alternativa 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Poderá o juiz substituir a prisão preventiva pela domiciliar quando o agente for maior de sessenta anos.</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O simples fato de que o agente ser reincidente faz com que ele perca o direito à prisão domiciliar</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 prisão preventiva imposta à mulher gestante ou que for mãe ou responsável por crianças ou pessoas com deficiência poderá ser</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substituída por prisão domiciliar, mesmo quando houver cometido crime com violência.</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5" w:right="0"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 prisão domiciliar para mulheres é extensiva aos homens, desde que cumpridos os requisitos da medida cautelar de prisão domiciliar e</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outras condicionantes;</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bl>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15"/>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39"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13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72" w:right="467"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8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2"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3"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69" w:right="468"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98"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De acordo com o STJ, quanto ao reconhecimento de pessoas e coisas, marque a alternativa 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Nenhuma das alternativas anteriores.</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5" w:right="0"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É inválido o reconhecimento pessoal realizado em desacordo com o modelo do art. 226 do CPP, o que implica a impossibilidade de seu</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uso para lastrear juízo de certeza da autoria do crime, mesmo que de forma suplementar.</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vMerge w:val="restart"/>
            <w:tcBorders>
              <w:right w:color="000000" w:space="0" w:sz="4" w:val="single"/>
            </w:tcBorders>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No caso de reconhecimento de objeto não se aplicam as cautelas previstas para o reconhecimento pessoal.</w:t>
            </w:r>
          </w:p>
        </w:tc>
      </w:tr>
      <w:tr>
        <w:trPr>
          <w:cantSplit w:val="0"/>
          <w:trHeight w:val="178" w:hRule="atLeast"/>
          <w:tblHeader w:val="0"/>
        </w:trPr>
        <w:tc>
          <w:tcPr>
            <w:vMerge w:val="continue"/>
            <w:tcBorders>
              <w:right w:color="000000" w:space="0" w:sz="4" w:val="single"/>
            </w:tcBorders>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O reconhecimento fotográfico de pessoas, desde que obedecidas as formalidades do Código de Processo Penal, pode servir como prova</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em ação penal.</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bl>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16"/>
        <w:tblW w:w="10207.0" w:type="dxa"/>
        <w:jc w:val="left"/>
        <w:tblInd w:w="120.0" w:type="dxa"/>
        <w:tblLayout w:type="fixed"/>
        <w:tblLook w:val="0000"/>
      </w:tblPr>
      <w:tblGrid>
        <w:gridCol w:w="485"/>
        <w:gridCol w:w="1458"/>
        <w:gridCol w:w="1459"/>
        <w:gridCol w:w="1943"/>
        <w:gridCol w:w="1944"/>
        <w:gridCol w:w="1460"/>
        <w:gridCol w:w="1458"/>
        <w:tblGridChange w:id="0">
          <w:tblGrid>
            <w:gridCol w:w="485"/>
            <w:gridCol w:w="1458"/>
            <w:gridCol w:w="1459"/>
            <w:gridCol w:w="1943"/>
            <w:gridCol w:w="1944"/>
            <w:gridCol w:w="1460"/>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39"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14 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72" w:right="467"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8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2"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3"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69" w:right="468"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98"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450" w:hRule="atLeast"/>
          <w:tblHeader w:val="0"/>
        </w:trPr>
        <w:tc>
          <w:tcPr>
            <w:tcBorders>
              <w:top w:color="000000" w:space="0" w:sz="4" w:val="single"/>
              <w:right w:color="000000" w:space="0" w:sz="4" w:val="single"/>
            </w:tcBorders>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6"/>
            <w:tcBorders>
              <w:top w:color="000000" w:space="0" w:sz="4" w:val="single"/>
              <w:left w:color="000000" w:space="0" w:sz="4" w:val="single"/>
              <w:right w:color="000000" w:space="0" w:sz="4" w:val="single"/>
            </w:tcBorders>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9" w:lineRule="auto"/>
              <w:ind w:left="54" w:right="54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Pedro tem interesse em ingressar na vida política, concorrendo ao cargo de vereador na cidade de Pitomba, Município no qual o seu irmão João é prefeito. Em dúvida sobre a possibilidade de se candidatar, Pedro procura a Defensoria Pública e durante o atendimento narra que (i) não possui</w:t>
            </w:r>
          </w:p>
        </w:tc>
      </w:tr>
    </w:tbl>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tbl>
      <w:tblPr>
        <w:tblStyle w:val="Table17"/>
        <w:tblW w:w="9719.0" w:type="dxa"/>
        <w:jc w:val="left"/>
        <w:tblInd w:w="605.0" w:type="dxa"/>
        <w:tblLayout w:type="fixed"/>
        <w:tblLook w:val="0000"/>
      </w:tblPr>
      <w:tblGrid>
        <w:gridCol w:w="485"/>
        <w:gridCol w:w="486"/>
        <w:gridCol w:w="8748"/>
        <w:tblGridChange w:id="0">
          <w:tblGrid>
            <w:gridCol w:w="485"/>
            <w:gridCol w:w="486"/>
            <w:gridCol w:w="8748"/>
          </w:tblGrid>
        </w:tblGridChange>
      </w:tblGrid>
      <w:tr>
        <w:trPr>
          <w:cantSplit w:val="0"/>
          <w:trHeight w:val="347" w:hRule="atLeast"/>
          <w:tblHeader w:val="0"/>
        </w:trPr>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condições financeiras para arcar com um advogado particular; (ii) que apesar do vínculo sanguíneo com o irmão, ambos não possuem contato; (iii) que</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gostaria de saber se sua candidatura é legal. À luz da narrativa de Pedro:</w:t>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 orientação jurídica a ser dada é que, devido ao vínculo com o prefeito, Pedro é inelegível no Estado em que se encontra o Município de</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Pitomba.</w:t>
            </w:r>
          </w:p>
        </w:tc>
      </w:tr>
      <w:tr>
        <w:trPr>
          <w:cantSplit w:val="0"/>
          <w:trHeight w:val="156" w:hRule="atLeast"/>
          <w:tblHeader w:val="0"/>
        </w:trPr>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2</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Não há qualquer impedimento para a candidatura de Pedro, uma vez que ele não mantém um relacionamento de proximidade com o</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irmão;</w:t>
            </w:r>
          </w:p>
        </w:tc>
      </w:tr>
      <w:tr>
        <w:trPr>
          <w:cantSplit w:val="0"/>
          <w:trHeight w:val="156" w:hRule="atLeast"/>
          <w:tblHeader w:val="0"/>
        </w:trPr>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5" w:right="0"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 orientação jurídica a ser dada é que, devido ao vínculo com o prefeito, Pedro é inelegível apenas no Município de Pitomba.</w:t>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Caso João renuncie ao cargo de prefeito três meses antes das Eleições, Pedro poderá concorrer ao cargo de vereador.</w:t>
            </w:r>
          </w:p>
        </w:tc>
      </w:tr>
    </w:tbl>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18"/>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39"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15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72" w:right="467"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8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2"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3"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69" w:right="468"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98"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Acerca das Ações Possessórias no Código de Processo Civil, assinale a alternativa INCORRETA: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5" w:right="0"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 propositura de uma ação de Manutenção de Posse em um caso onde deveria ser proposta uma ação de Reintegração de Posse obstará</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que o Magistrado conheça o pedido e outorgue a proteção legal correspondente àquela.</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9" w:lineRule="auto"/>
              <w:ind w:left="54" w:right="6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No litígio coletivo pela posse de imóvel, quando o esbulho ou a turbação afirmado na petição inicial houver ocorrido há mais de ano e dia, o juiz, antes de apreciar o pedido de concessão da medida liminar, deverá designar audiência de mediação, a realizar-se em até 30 (trinta)</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5.9999999999999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dias.</w:t>
            </w:r>
          </w:p>
        </w:tc>
      </w:tr>
      <w:tr>
        <w:trPr>
          <w:cantSplit w:val="0"/>
          <w:trHeight w:val="331" w:hRule="atLeast"/>
          <w:tblHeader w:val="0"/>
        </w:trPr>
        <w:tc>
          <w:tcPr>
            <w:gridSpan w:val="4"/>
            <w:tcBorders>
              <w:right w:color="000000" w:space="0" w:sz="4" w:val="single"/>
            </w:tcBorders>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Quando determinada a realização de justificação prévia, o prazo para apresentar contestação será contado da intimação da decisão que</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deferir ou não a medida liminar.</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9" w:lineRule="auto"/>
              <w:ind w:left="54" w:right="34"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No caso de ação possessória em que figure no polo passivo grande número de pessoas, serão feitas a citação pessoal dos ocupantes que forem encontrados no local e a citação por edital dos demais, determinando-se, ainda, a intimação do Ministério Público e, se envolver</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5.9999999999999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pessoas em situação de hipossuficiência econômica, da Defensoria Pública.</w:t>
            </w:r>
          </w:p>
        </w:tc>
      </w:tr>
      <w:tr>
        <w:trPr>
          <w:cantSplit w:val="0"/>
          <w:trHeight w:val="331" w:hRule="atLeast"/>
          <w:tblHeader w:val="0"/>
        </w:trPr>
        <w:tc>
          <w:tcPr>
            <w:gridSpan w:val="4"/>
            <w:tcBorders>
              <w:right w:color="000000" w:space="0" w:sz="4" w:val="single"/>
            </w:tcBorders>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19"/>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39"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16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72" w:right="467"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8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2"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3"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69" w:right="468"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98"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Sobre direitos de personalidade, marque a alternativa 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Não é admissível o retorno ao nome de solteiro do cônjuge ainda na constância do vínculo conjugal, em observância aos princípios do</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Direito de Família.</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Em caso de “exposição pornográfica não consentida", caso o rosto da vítima não apareça de forma evidente, não há o que se falar em</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reparação por danos morais.</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5" w:right="0"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É admissível a exclusão de prenome da criança na hipótese em que o pai informou, perante o cartório de registro civil, nome diferente</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daquele que havia sido consensualmente escolhido pelos genitores.</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É possível a declaração de incapacidade absoluta às pessoas com deficiência mental, inapto para gerir sua pessoa e administrar seus</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bens de modo voluntário e consciente.</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bl>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20"/>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39"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17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72" w:right="467"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8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2"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3"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69" w:right="468"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98"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Acerca das garantias e liberdades fundamentais, conforme entendimento do Supremo Tribunal Federal, marque a alternativa INCORRETA: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É constitucional e não fere a laicidade estatal lei estadual que permite o sacrifício de animais em cultos de religiões de matriz africana.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5" w:right="0"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É constitucional a imposição legal de exemplares de Bíblias em escolas e bibliotecas públicas estaduais, uma vez que tal previsão não</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fere a laicidade estatal e à liberdade religiosa consagrada pela Constituição da República de 1988.</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O Poder Público pode determinar a vacinação compulsória contra a COVID-19, impondo aos cidadãos que recusem a vacinação medidas</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restritivas previstas em lei, tais como multa, impedimento de frequentar determinados lugares, fazer matrícula em escola etc.</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9" w:lineRule="auto"/>
              <w:ind w:left="54" w:right="229"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É inconstitucional lei municipal que proíba a divulgação de material com referência a “ideologia de gênero” nas escolas municipais, uma vez que essa lei contraria ainda um dos objetivos fundamentais da República Federativa do Brasil, que é a promoção do bem de todos</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5.9999999999999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sem preconceitos.</w:t>
            </w:r>
          </w:p>
        </w:tc>
      </w:tr>
      <w:tr>
        <w:trPr>
          <w:cantSplit w:val="0"/>
          <w:trHeight w:val="331" w:hRule="atLeast"/>
          <w:tblHeader w:val="0"/>
        </w:trPr>
        <w:tc>
          <w:tcPr>
            <w:gridSpan w:val="4"/>
            <w:tcBorders>
              <w:right w:color="000000" w:space="0" w:sz="4" w:val="single"/>
            </w:tcBorders>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21"/>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39"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18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72" w:right="467"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8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2"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3"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69" w:right="468"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98"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Sobre a liberdade de expressão, direito de resposta e o direito ao esquecimento, é incorreto afirmar:</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Mesmo após a retratação ou a retificação espontânea pelo veículo de comunicação social, remanesce o direito do suposto ofendido de</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exercer, em nome próprio, seu alegado direito de resposta.</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5" w:right="0"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As liberdades de imprensa e de comunicação social devem ser exercidas em harmonia com as disposições constitucionais e aos preceitos</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de permissão do anonimato, vedação de sigilo da fonte, inviolabilidade da intimidade e proibição do discurso de ódio.</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9" w:lineRule="auto"/>
              <w:ind w:left="54" w:right="112"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O STF julgou ser incompatível com a Constituição Federal de 1988 o direito ao esquecimento, que consiste no poder de obstar, em razão da passagem do tempo, a divulgação de fatos ou dados verídicos licitamente obtidos e publicados em meios de comunicação social</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5.9999999999999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analógicos ou digitais.</w:t>
            </w:r>
          </w:p>
        </w:tc>
      </w:tr>
      <w:tr>
        <w:trPr>
          <w:cantSplit w:val="0"/>
          <w:trHeight w:val="331" w:hRule="atLeast"/>
          <w:tblHeader w:val="0"/>
        </w:trPr>
        <w:tc>
          <w:tcPr>
            <w:gridSpan w:val="4"/>
            <w:tcBorders>
              <w:right w:color="000000" w:space="0" w:sz="4" w:val="single"/>
            </w:tcBorders>
          </w:tcPr>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No Brasil, prevalece que o hate speech não é protegido pela ordem constitucional. Isso porque o direito à liberdade de expressão não é</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absoluto, podendo a pessoa que proferiu o discurso de ódio ser punida, inclusive criminalmente, em caso de abuso.</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bl>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22"/>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39"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19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72" w:right="467"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8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2"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3"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69" w:right="468"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98"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Acerca da aplicação da Lei Penal, assinale a alternativa 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 lei posterior que, de qualquer modo favorecer o agente, aplica-se aos fatos anteriores, desde que a sentença condenatória não tenha</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transitado em julgado.</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vMerge w:val="restart"/>
            <w:tcBorders>
              <w:right w:color="000000" w:space="0" w:sz="4" w:val="single"/>
            </w:tcBorders>
          </w:tcPr>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5" w:right="0"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Segundo o Código Penal, considera-se praticado o crime no momento da ação ou omissão, ainda que outro seja o momento do resultado.</w:t>
            </w:r>
          </w:p>
        </w:tc>
      </w:tr>
      <w:tr>
        <w:trPr>
          <w:cantSplit w:val="0"/>
          <w:trHeight w:val="178" w:hRule="atLeast"/>
          <w:tblHeader w:val="0"/>
        </w:trPr>
        <w:tc>
          <w:tcPr>
            <w:vMerge w:val="continue"/>
            <w:tcBorders>
              <w:right w:color="000000" w:space="0" w:sz="4" w:val="single"/>
            </w:tcBorders>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Somente ficam sujeitos à lei brasileira, se o fato for punível também no país onde foi praticado, os crimes praticados no estrangeiro contra</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 vida ou a liberdade do Presidente da República;</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Quanto a aplicação da lei temporária, cessada a criminalização do tipo penal no curso da ação penal, o réu será absolvido com</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fundamento na abolitio criminis.</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bl>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23"/>
        <w:tblW w:w="10207.0" w:type="dxa"/>
        <w:jc w:val="left"/>
        <w:tblInd w:w="120.0" w:type="dxa"/>
        <w:tblLayout w:type="fixed"/>
        <w:tblLook w:val="0000"/>
      </w:tblPr>
      <w:tblGrid>
        <w:gridCol w:w="485"/>
        <w:gridCol w:w="486"/>
        <w:gridCol w:w="486"/>
        <w:gridCol w:w="486"/>
        <w:gridCol w:w="1459"/>
        <w:gridCol w:w="1943"/>
        <w:gridCol w:w="1944"/>
        <w:gridCol w:w="1460"/>
        <w:gridCol w:w="1458"/>
        <w:tblGridChange w:id="0">
          <w:tblGrid>
            <w:gridCol w:w="485"/>
            <w:gridCol w:w="486"/>
            <w:gridCol w:w="486"/>
            <w:gridCol w:w="486"/>
            <w:gridCol w:w="1459"/>
            <w:gridCol w:w="1943"/>
            <w:gridCol w:w="1944"/>
            <w:gridCol w:w="1460"/>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39"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20 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72" w:right="467"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8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2"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675" w:right="673"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69" w:right="468"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198"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220"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Conforme a Constituição Federal de 1988 e entendimento do Supremo Tribunal Federal sobre o tema INTERVENÇÃO:</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5F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72"/>
              </w:tabs>
              <w:spacing w:after="0" w:before="0" w:line="240" w:lineRule="auto"/>
              <w:ind w:left="171" w:right="0" w:hanging="118"/>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 Constituição Estadual não pode trazer hipóteses de intervenção estadual diferentes daquelas que são elencadas no art. 35 da Constituição Federal.</w:t>
            </w:r>
          </w:p>
          <w:p w:rsidR="00000000" w:rsidDel="00000000" w:rsidP="00000000" w:rsidRDefault="00000000" w:rsidRPr="00000000" w14:paraId="000005F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210"/>
              </w:tabs>
              <w:spacing w:after="0" w:before="14" w:line="240" w:lineRule="auto"/>
              <w:ind w:left="209" w:right="0" w:hanging="156"/>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O Estado poderá intervir em seus Municípios quando não forem prestadas contas devidas, na forma da lei;</w:t>
            </w:r>
          </w:p>
          <w:p w:rsidR="00000000" w:rsidDel="00000000" w:rsidP="00000000" w:rsidRDefault="00000000" w:rsidRPr="00000000" w14:paraId="000005F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249"/>
              </w:tabs>
              <w:spacing w:after="0" w:before="14" w:line="240" w:lineRule="auto"/>
              <w:ind w:left="248" w:right="0" w:hanging="195"/>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É admitida a decretação de intervenção federal por tempo indeterminado.</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7"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Marque a assertiva correspondente:</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4" w:right="0"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1</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Todos os itens estão incorretos.</w:t>
            </w:r>
          </w:p>
        </w:tc>
      </w:tr>
    </w:tbl>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3"/>
          <w:szCs w:val="3"/>
          <w:u w:val="none"/>
          <w:shd w:fill="auto" w:val="clear"/>
          <w:vertAlign w:val="baseline"/>
        </w:rPr>
      </w:pPr>
      <w:r w:rsidDel="00000000" w:rsidR="00000000" w:rsidRPr="00000000">
        <w:rPr>
          <w:rtl w:val="0"/>
        </w:rPr>
      </w:r>
    </w:p>
    <w:tbl>
      <w:tblPr>
        <w:tblStyle w:val="Table24"/>
        <w:tblW w:w="9719.0" w:type="dxa"/>
        <w:jc w:val="left"/>
        <w:tblInd w:w="603.0" w:type="dxa"/>
        <w:tblLayout w:type="fixed"/>
        <w:tblLook w:val="0000"/>
      </w:tblPr>
      <w:tblGrid>
        <w:gridCol w:w="485"/>
        <w:gridCol w:w="486"/>
        <w:gridCol w:w="8748"/>
        <w:tblGridChange w:id="0">
          <w:tblGrid>
            <w:gridCol w:w="485"/>
            <w:gridCol w:w="486"/>
            <w:gridCol w:w="874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Todos os itens estão corretos;</w:t>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Apenas o item I está correto;</w:t>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5" w:right="0" w:firstLine="0"/>
              <w:jc w:val="center"/>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51" w:lineRule="auto"/>
              <w:ind w:left="201"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55" w:lineRule="auto"/>
              <w:ind w:left="54"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Fonts w:ascii="Arial MT" w:cs="Arial MT" w:eastAsia="Arial MT" w:hAnsi="Arial MT"/>
                <w:b w:val="0"/>
                <w:i w:val="0"/>
                <w:smallCaps w:val="0"/>
                <w:strike w:val="0"/>
                <w:color w:val="000000"/>
                <w:sz w:val="14"/>
                <w:szCs w:val="14"/>
                <w:u w:val="none"/>
                <w:shd w:fill="auto" w:val="clear"/>
                <w:vertAlign w:val="baseline"/>
                <w:rtl w:val="0"/>
              </w:rPr>
              <w:t xml:space="preserve">Apenas os itens I e II estão corretos;</w:t>
            </w:r>
          </w:p>
        </w:tc>
      </w:tr>
    </w:tbl>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MT" w:cs="Arial MT" w:eastAsia="Arial MT" w:hAnsi="Arial MT"/>
          <w:b w:val="0"/>
          <w:i w:val="0"/>
          <w:smallCaps w:val="0"/>
          <w:strike w:val="0"/>
          <w:color w:val="ff4000"/>
          <w:sz w:val="14"/>
          <w:szCs w:val="14"/>
          <w:u w:val="none"/>
          <w:shd w:fill="auto" w:val="clear"/>
          <w:vertAlign w:val="baseline"/>
        </w:rPr>
      </w:pPr>
      <w:r w:rsidDel="00000000" w:rsidR="00000000" w:rsidRPr="00000000">
        <w:rPr>
          <w:rtl w:val="0"/>
        </w:rPr>
      </w:r>
    </w:p>
    <w:sectPr>
      <w:headerReference r:id="rId10" w:type="default"/>
      <w:footerReference r:id="rId11" w:type="default"/>
      <w:type w:val="nextPage"/>
      <w:pgSz w:h="16838" w:w="11906" w:orient="portrait"/>
      <w:pgMar w:bottom="460" w:top="1480" w:left="740" w:right="740" w:header="283" w:footer="27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Noto Sans Symbols"/>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5867400</wp:posOffset>
              </wp:positionH>
              <wp:positionV relativeFrom="paragraph">
                <wp:posOffset>10312400</wp:posOffset>
              </wp:positionV>
              <wp:extent cx="537845" cy="134620"/>
              <wp:effectExtent b="0" l="0" r="0" t="0"/>
              <wp:wrapNone/>
              <wp:docPr id="22" name=""/>
              <a:graphic>
                <a:graphicData uri="http://schemas.microsoft.com/office/word/2010/wordprocessingShape">
                  <wps:wsp>
                    <wps:cNvSpPr/>
                    <wps:cNvPr id="6" name="Shape 6"/>
                    <wps:spPr>
                      <a:xfrm>
                        <a:off x="5081840" y="3717453"/>
                        <a:ext cx="528320" cy="125095"/>
                      </a:xfrm>
                      <a:prstGeom prst="rect">
                        <a:avLst/>
                      </a:prstGeom>
                      <a:solidFill>
                        <a:srgbClr val="FFFFFF">
                          <a:alpha val="0"/>
                        </a:srgbClr>
                      </a:solid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rial MT" w:cs="Arial MT" w:eastAsia="Arial MT" w:hAnsi="Arial MT"/>
                              <w:b w:val="0"/>
                              <w:i w:val="0"/>
                              <w:smallCaps w:val="0"/>
                              <w:strike w:val="0"/>
                              <w:color w:val="000000"/>
                              <w:sz w:val="14"/>
                              <w:vertAlign w:val="baseline"/>
                            </w:rPr>
                            <w:t xml:space="preserve">página  PAGE 1 / 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5867400</wp:posOffset>
              </wp:positionH>
              <wp:positionV relativeFrom="paragraph">
                <wp:posOffset>10312400</wp:posOffset>
              </wp:positionV>
              <wp:extent cx="537845" cy="134620"/>
              <wp:effectExtent b="0" l="0" r="0" t="0"/>
              <wp:wrapNone/>
              <wp:docPr id="2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37845" cy="13462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63500</wp:posOffset>
              </wp:positionH>
              <wp:positionV relativeFrom="paragraph">
                <wp:posOffset>10325100</wp:posOffset>
              </wp:positionV>
              <wp:extent cx="635" cy="12700"/>
              <wp:effectExtent b="0" l="0" r="0" t="0"/>
              <wp:wrapNone/>
              <wp:docPr id="21" name=""/>
              <a:graphic>
                <a:graphicData uri="http://schemas.microsoft.com/office/word/2010/wordprocessingShape">
                  <wps:wsp>
                    <wps:cNvCnPr/>
                    <wps:spPr>
                      <a:xfrm>
                        <a:off x="2106000" y="3780000"/>
                        <a:ext cx="6480000" cy="0"/>
                      </a:xfrm>
                      <a:prstGeom prst="straightConnector1">
                        <a:avLst/>
                      </a:prstGeom>
                      <a:noFill/>
                      <a:ln cap="flat" cmpd="sng" w="108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10325100</wp:posOffset>
              </wp:positionV>
              <wp:extent cx="635" cy="12700"/>
              <wp:effectExtent b="0" l="0" r="0" t="0"/>
              <wp:wrapNone/>
              <wp:docPr id="2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35"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5867400</wp:posOffset>
              </wp:positionH>
              <wp:positionV relativeFrom="paragraph">
                <wp:posOffset>10312400</wp:posOffset>
              </wp:positionV>
              <wp:extent cx="538480" cy="135255"/>
              <wp:effectExtent b="0" l="0" r="0" t="0"/>
              <wp:wrapNone/>
              <wp:docPr id="19" name=""/>
              <a:graphic>
                <a:graphicData uri="http://schemas.microsoft.com/office/word/2010/wordprocessingShape">
                  <wps:wsp>
                    <wps:cNvSpPr/>
                    <wps:cNvPr id="3" name="Shape 3"/>
                    <wps:spPr>
                      <a:xfrm>
                        <a:off x="5081760" y="3717540"/>
                        <a:ext cx="528480" cy="124920"/>
                      </a:xfrm>
                      <a:prstGeom prst="rect">
                        <a:avLst/>
                      </a:pr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rial MT" w:cs="Arial MT" w:eastAsia="Arial MT" w:hAnsi="Arial MT"/>
                              <w:b w:val="0"/>
                              <w:i w:val="0"/>
                              <w:smallCaps w:val="0"/>
                              <w:strike w:val="0"/>
                              <w:color w:val="000000"/>
                              <w:sz w:val="14"/>
                              <w:vertAlign w:val="baseline"/>
                            </w:rPr>
                            <w:t xml:space="preserve">página  PAGE 2 / 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5867400</wp:posOffset>
              </wp:positionH>
              <wp:positionV relativeFrom="paragraph">
                <wp:posOffset>10312400</wp:posOffset>
              </wp:positionV>
              <wp:extent cx="538480" cy="135255"/>
              <wp:effectExtent b="0" l="0" r="0" t="0"/>
              <wp:wrapNone/>
              <wp:docPr id="19"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38480" cy="13525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sz w:val="20"/>
        <w:szCs w:val="20"/>
      </w:rPr>
      <w:drawing>
        <wp:anchor allowOverlap="1" behindDoc="1" distB="0" distT="0" distL="0" distR="0" hidden="0" layoutInCell="1" locked="0" relativeHeight="0" simplePos="0">
          <wp:simplePos x="0" y="0"/>
          <wp:positionH relativeFrom="page">
            <wp:posOffset>2798925</wp:posOffset>
          </wp:positionH>
          <wp:positionV relativeFrom="page">
            <wp:posOffset>269875</wp:posOffset>
          </wp:positionV>
          <wp:extent cx="899795" cy="620395"/>
          <wp:effectExtent b="0" l="0" r="0" t="0"/>
          <wp:wrapNone/>
          <wp:docPr id="2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99795" cy="62039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539750</wp:posOffset>
              </wp:positionH>
              <wp:positionV relativeFrom="page">
                <wp:posOffset>929005</wp:posOffset>
              </wp:positionV>
              <wp:extent cx="635" cy="12700"/>
              <wp:effectExtent b="0" l="0" r="0" t="0"/>
              <wp:wrapNone/>
              <wp:docPr id="18" name=""/>
              <a:graphic>
                <a:graphicData uri="http://schemas.microsoft.com/office/word/2010/wordprocessingShape">
                  <wps:wsp>
                    <wps:cNvCnPr/>
                    <wps:spPr>
                      <a:xfrm>
                        <a:off x="2106000" y="3780000"/>
                        <a:ext cx="6480000" cy="0"/>
                      </a:xfrm>
                      <a:prstGeom prst="straightConnector1">
                        <a:avLst/>
                      </a:prstGeom>
                      <a:noFill/>
                      <a:ln cap="flat" cmpd="sng" w="108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539750</wp:posOffset>
              </wp:positionH>
              <wp:positionV relativeFrom="page">
                <wp:posOffset>929005</wp:posOffset>
              </wp:positionV>
              <wp:extent cx="635" cy="12700"/>
              <wp:effectExtent b="0" l="0" r="0" t="0"/>
              <wp:wrapNone/>
              <wp:docPr id="1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35" cy="12700"/>
                      </a:xfrm>
                      <a:prstGeom prst="rect"/>
                      <a:ln/>
                    </pic:spPr>
                  </pic:pic>
                </a:graphicData>
              </a:graphic>
            </wp:anchor>
          </w:drawing>
        </mc:Fallback>
      </mc:AlternateContent>
    </w: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539750</wp:posOffset>
          </wp:positionH>
          <wp:positionV relativeFrom="page">
            <wp:posOffset>179705</wp:posOffset>
          </wp:positionV>
          <wp:extent cx="899795" cy="620395"/>
          <wp:effectExtent b="0" l="0" r="0" t="0"/>
          <wp:wrapNone/>
          <wp:docPr id="2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99795" cy="62039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71" w:hanging="116.99999999999997"/>
      </w:pPr>
      <w:rPr>
        <w:rFonts w:ascii="Arial MT" w:cs="Arial MT" w:eastAsia="Arial MT" w:hAnsi="Arial MT"/>
        <w:sz w:val="14"/>
        <w:szCs w:val="14"/>
      </w:rPr>
    </w:lvl>
    <w:lvl w:ilvl="1">
      <w:start w:val="0"/>
      <w:numFmt w:val="bullet"/>
      <w:lvlText w:val="●"/>
      <w:lvlJc w:val="left"/>
      <w:pPr>
        <w:ind w:left="1133" w:hanging="117"/>
      </w:pPr>
      <w:rPr>
        <w:rFonts w:ascii="Noto Sans Symbols" w:cs="Noto Sans Symbols" w:eastAsia="Noto Sans Symbols" w:hAnsi="Noto Sans Symbols"/>
      </w:rPr>
    </w:lvl>
    <w:lvl w:ilvl="2">
      <w:start w:val="0"/>
      <w:numFmt w:val="bullet"/>
      <w:lvlText w:val="●"/>
      <w:lvlJc w:val="left"/>
      <w:pPr>
        <w:ind w:left="2086" w:hanging="117"/>
      </w:pPr>
      <w:rPr>
        <w:rFonts w:ascii="Noto Sans Symbols" w:cs="Noto Sans Symbols" w:eastAsia="Noto Sans Symbols" w:hAnsi="Noto Sans Symbols"/>
      </w:rPr>
    </w:lvl>
    <w:lvl w:ilvl="3">
      <w:start w:val="0"/>
      <w:numFmt w:val="bullet"/>
      <w:lvlText w:val="●"/>
      <w:lvlJc w:val="left"/>
      <w:pPr>
        <w:ind w:left="3039" w:hanging="117"/>
      </w:pPr>
      <w:rPr>
        <w:rFonts w:ascii="Noto Sans Symbols" w:cs="Noto Sans Symbols" w:eastAsia="Noto Sans Symbols" w:hAnsi="Noto Sans Symbols"/>
      </w:rPr>
    </w:lvl>
    <w:lvl w:ilvl="4">
      <w:start w:val="0"/>
      <w:numFmt w:val="bullet"/>
      <w:lvlText w:val="●"/>
      <w:lvlJc w:val="left"/>
      <w:pPr>
        <w:ind w:left="3992" w:hanging="117"/>
      </w:pPr>
      <w:rPr>
        <w:rFonts w:ascii="Noto Sans Symbols" w:cs="Noto Sans Symbols" w:eastAsia="Noto Sans Symbols" w:hAnsi="Noto Sans Symbols"/>
      </w:rPr>
    </w:lvl>
    <w:lvl w:ilvl="5">
      <w:start w:val="0"/>
      <w:numFmt w:val="bullet"/>
      <w:lvlText w:val="●"/>
      <w:lvlJc w:val="left"/>
      <w:pPr>
        <w:ind w:left="4946" w:hanging="117"/>
      </w:pPr>
      <w:rPr>
        <w:rFonts w:ascii="Noto Sans Symbols" w:cs="Noto Sans Symbols" w:eastAsia="Noto Sans Symbols" w:hAnsi="Noto Sans Symbols"/>
      </w:rPr>
    </w:lvl>
    <w:lvl w:ilvl="6">
      <w:start w:val="0"/>
      <w:numFmt w:val="bullet"/>
      <w:lvlText w:val="●"/>
      <w:lvlJc w:val="left"/>
      <w:pPr>
        <w:ind w:left="5899" w:hanging="117.00000000000091"/>
      </w:pPr>
      <w:rPr>
        <w:rFonts w:ascii="Noto Sans Symbols" w:cs="Noto Sans Symbols" w:eastAsia="Noto Sans Symbols" w:hAnsi="Noto Sans Symbols"/>
      </w:rPr>
    </w:lvl>
    <w:lvl w:ilvl="7">
      <w:start w:val="0"/>
      <w:numFmt w:val="bullet"/>
      <w:lvlText w:val="●"/>
      <w:lvlJc w:val="left"/>
      <w:pPr>
        <w:ind w:left="6852" w:hanging="117"/>
      </w:pPr>
      <w:rPr>
        <w:rFonts w:ascii="Noto Sans Symbols" w:cs="Noto Sans Symbols" w:eastAsia="Noto Sans Symbols" w:hAnsi="Noto Sans Symbols"/>
      </w:rPr>
    </w:lvl>
    <w:lvl w:ilvl="8">
      <w:start w:val="0"/>
      <w:numFmt w:val="bullet"/>
      <w:lvlText w:val="●"/>
      <w:lvlJc w:val="left"/>
      <w:pPr>
        <w:ind w:left="7805" w:hanging="117"/>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MT" w:cs="Arial MT" w:eastAsia="Arial MT" w:hAnsi="Arial MT"/>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pPr>
      <w:widowControl w:val="0"/>
      <w:bidi w:val="0"/>
      <w:spacing w:after="0" w:before="0" w:line="240" w:lineRule="auto"/>
      <w:ind w:left="0" w:right="0" w:hanging="0"/>
      <w:jc w:val="left"/>
    </w:pPr>
    <w:rPr>
      <w:rFonts w:ascii="Arial MT" w:cs="Arial MT" w:eastAsia="Arial MT" w:hAnsi="Arial MT"/>
      <w:color w:val="auto"/>
      <w:kern w:val="0"/>
      <w:sz w:val="22"/>
      <w:szCs w:val="22"/>
      <w:lang w:bidi="ar-SA" w:eastAsia="en-US" w:val="pt-PT"/>
    </w:rPr>
  </w:style>
  <w:style w:type="character" w:styleId="DefaultParagraphFont" w:default="1">
    <w:name w:val="Default Paragraph Font"/>
    <w:uiPriority w:val="1"/>
    <w:semiHidden w:val="1"/>
    <w:unhideWhenUsed w:val="1"/>
    <w:qFormat w:val="1"/>
    <w:rPr/>
  </w:style>
  <w:style w:type="paragraph" w:styleId="Ttulo">
    <w:name w:val="Título"/>
    <w:basedOn w:val="Normal"/>
    <w:next w:val="Corpodotexto"/>
    <w:qFormat w:val="1"/>
    <w:pPr>
      <w:keepNext w:val="1"/>
      <w:spacing w:after="120" w:before="240"/>
    </w:pPr>
    <w:rPr>
      <w:rFonts w:ascii="Liberation Sans" w:cs="Lucida Sans" w:eastAsia="Microsoft YaHei" w:hAnsi="Liberation Sans"/>
      <w:sz w:val="28"/>
      <w:szCs w:val="28"/>
    </w:rPr>
  </w:style>
  <w:style w:type="paragraph" w:styleId="Corpodotexto">
    <w:name w:val="Body Text"/>
    <w:basedOn w:val="Normal"/>
    <w:uiPriority w:val="1"/>
    <w:qFormat w:val="1"/>
    <w:pPr>
      <w:spacing w:after="0" w:before="10"/>
    </w:pPr>
    <w:rPr>
      <w:rFonts w:ascii="Arial MT" w:cs="Arial MT" w:eastAsia="Arial MT" w:hAnsi="Arial MT"/>
      <w:sz w:val="14"/>
      <w:szCs w:val="14"/>
      <w:lang w:bidi="ar-SA" w:eastAsia="en-US" w:val="pt-PT"/>
    </w:rPr>
  </w:style>
  <w:style w:type="paragraph" w:styleId="Lista">
    <w:name w:val="List"/>
    <w:basedOn w:val="Corpodotexto"/>
    <w:pPr/>
    <w:rPr>
      <w:rFonts w:cs="Lucida Sans"/>
    </w:rPr>
  </w:style>
  <w:style w:type="paragraph" w:styleId="Legenda">
    <w:name w:val="Caption"/>
    <w:basedOn w:val="Normal"/>
    <w:qFormat w:val="1"/>
    <w:pPr>
      <w:suppressLineNumbers w:val="1"/>
      <w:spacing w:after="120" w:before="120"/>
    </w:pPr>
    <w:rPr>
      <w:rFonts w:cs="Lucida Sans"/>
      <w:i w:val="1"/>
      <w:iCs w:val="1"/>
      <w:sz w:val="24"/>
      <w:szCs w:val="24"/>
    </w:rPr>
  </w:style>
  <w:style w:type="paragraph" w:styleId="Ndice">
    <w:name w:val="Índice"/>
    <w:basedOn w:val="Normal"/>
    <w:qFormat w:val="1"/>
    <w:pPr>
      <w:suppressLineNumbers w:val="1"/>
    </w:pPr>
    <w:rPr>
      <w:rFonts w:cs="Lucida Sans"/>
      <w:lang w:bidi="zxx" w:eastAsia="zxx" w:val="zxx"/>
    </w:rPr>
  </w:style>
  <w:style w:type="paragraph" w:styleId="ListParagraph">
    <w:name w:val="List Paragraph"/>
    <w:basedOn w:val="Normal"/>
    <w:uiPriority w:val="1"/>
    <w:qFormat w:val="1"/>
    <w:pPr/>
    <w:rPr>
      <w:lang w:bidi="ar-SA" w:eastAsia="en-US" w:val="pt-PT"/>
    </w:rPr>
  </w:style>
  <w:style w:type="paragraph" w:styleId="TableParagraph">
    <w:name w:val="Table Paragraph"/>
    <w:basedOn w:val="Normal"/>
    <w:uiPriority w:val="1"/>
    <w:qFormat w:val="1"/>
    <w:pPr>
      <w:spacing w:after="0" w:before="7" w:line="151" w:lineRule="exact"/>
    </w:pPr>
    <w:rPr>
      <w:rFonts w:ascii="Arial MT" w:cs="Arial MT" w:eastAsia="Arial MT" w:hAnsi="Arial MT"/>
      <w:lang w:bidi="ar-SA" w:eastAsia="en-US" w:val="pt-PT"/>
    </w:rPr>
  </w:style>
  <w:style w:type="paragraph" w:styleId="CabealhoeRodap">
    <w:name w:val="Cabeçalho e Rodapé"/>
    <w:basedOn w:val="Normal"/>
    <w:qFormat w:val="1"/>
    <w:pPr/>
    <w:rPr/>
  </w:style>
  <w:style w:type="paragraph" w:styleId="Cabealho">
    <w:name w:val="Header"/>
    <w:basedOn w:val="CabealhoeRodap"/>
    <w:pPr/>
    <w:rPr/>
  </w:style>
  <w:style w:type="paragraph" w:styleId="Rodap">
    <w:name w:val="Footer"/>
    <w:basedOn w:val="CabealhoeRodap"/>
    <w:pPr/>
    <w:rPr/>
  </w:style>
  <w:style w:type="paragraph" w:styleId="Contedodoquadro">
    <w:name w:val="Conteúdo do quadro"/>
    <w:basedOn w:val="Normal"/>
    <w:qFormat w:val="1"/>
    <w:pPr/>
    <w:rPr/>
  </w:style>
  <w:style w:type="paragraph" w:styleId="Contedodatabela">
    <w:name w:val="Conteúdo da tabela"/>
    <w:basedOn w:val="Normal"/>
    <w:qFormat w:val="1"/>
    <w:pPr>
      <w:widowControl w:val="0"/>
      <w:suppressLineNumbers w:val="1"/>
    </w:pPr>
    <w:rPr/>
  </w:style>
  <w:style w:type="paragraph" w:styleId="Ttulodetabela">
    <w:name w:val="Título de tabela"/>
    <w:basedOn w:val="Contedodatabela"/>
    <w:qFormat w:val="1"/>
    <w:pPr>
      <w:suppressLineNumbers w:val="1"/>
      <w:jc w:val="center"/>
    </w:pPr>
    <w:rPr>
      <w:b w:val="1"/>
      <w:bCs w:val="1"/>
    </w:rPr>
  </w:style>
  <w:style w:type="numbering" w:styleId="NoList" w:default="1">
    <w:name w:val="No List"/>
    <w:uiPriority w:val="99"/>
    <w:semiHidden w:val="1"/>
    <w:unhideWhenUsed w:val="1"/>
    <w:qFormat w:val="1"/>
  </w:style>
  <w:style w:type="table" w:styleId="TableNormal" w:default="1">
    <w:name w:val="Table Normal"/>
    <w:uiPriority w:val="2"/>
    <w:semiHidden w:val="1"/>
    <w:unhideWhenUsed w:val="1"/>
    <w:qFormat w:val="1"/>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5.0" w:type="dxa"/>
        <w:bottom w:w="0.0" w:type="dxa"/>
        <w:right w:w="5.0" w:type="dxa"/>
      </w:tblCellMar>
    </w:tblPr>
  </w:style>
  <w:style w:type="table" w:styleId="Table2">
    <w:basedOn w:val="TableNormal"/>
    <w:tblPr>
      <w:tblStyleRowBandSize w:val="1"/>
      <w:tblStyleColBandSize w:val="1"/>
      <w:tblCellMar>
        <w:top w:w="0.0" w:type="dxa"/>
        <w:left w:w="5.0" w:type="dxa"/>
        <w:bottom w:w="0.0" w:type="dxa"/>
        <w:right w:w="5.0" w:type="dxa"/>
      </w:tblCellMar>
    </w:tblPr>
  </w:style>
  <w:style w:type="table" w:styleId="Table3">
    <w:basedOn w:val="TableNormal"/>
    <w:tblPr>
      <w:tblStyleRowBandSize w:val="1"/>
      <w:tblStyleColBandSize w:val="1"/>
      <w:tblCellMar>
        <w:top w:w="0.0" w:type="dxa"/>
        <w:left w:w="5.0" w:type="dxa"/>
        <w:bottom w:w="0.0" w:type="dxa"/>
        <w:right w:w="5.0" w:type="dxa"/>
      </w:tblCellMar>
    </w:tblPr>
  </w:style>
  <w:style w:type="table" w:styleId="Table4">
    <w:basedOn w:val="TableNormal"/>
    <w:tblPr>
      <w:tblStyleRowBandSize w:val="1"/>
      <w:tblStyleColBandSize w:val="1"/>
      <w:tblCellMar>
        <w:top w:w="0.0" w:type="dxa"/>
        <w:left w:w="5.0" w:type="dxa"/>
        <w:bottom w:w="0.0" w:type="dxa"/>
        <w:right w:w="5.0" w:type="dxa"/>
      </w:tblCellMar>
    </w:tblPr>
  </w:style>
  <w:style w:type="table" w:styleId="Table5">
    <w:basedOn w:val="TableNormal"/>
    <w:tblPr>
      <w:tblStyleRowBandSize w:val="1"/>
      <w:tblStyleColBandSize w:val="1"/>
      <w:tblCellMar>
        <w:top w:w="0.0" w:type="dxa"/>
        <w:left w:w="5.0" w:type="dxa"/>
        <w:bottom w:w="0.0" w:type="dxa"/>
        <w:right w:w="5.0" w:type="dxa"/>
      </w:tblCellMar>
    </w:tblPr>
  </w:style>
  <w:style w:type="table" w:styleId="Table6">
    <w:basedOn w:val="TableNormal"/>
    <w:tblPr>
      <w:tblStyleRowBandSize w:val="1"/>
      <w:tblStyleColBandSize w:val="1"/>
      <w:tblCellMar>
        <w:top w:w="0.0" w:type="dxa"/>
        <w:left w:w="5.0" w:type="dxa"/>
        <w:bottom w:w="0.0" w:type="dxa"/>
        <w:right w:w="5.0" w:type="dxa"/>
      </w:tblCellMar>
    </w:tblPr>
  </w:style>
  <w:style w:type="table" w:styleId="Table7">
    <w:basedOn w:val="TableNormal"/>
    <w:tblPr>
      <w:tblStyleRowBandSize w:val="1"/>
      <w:tblStyleColBandSize w:val="1"/>
      <w:tblCellMar>
        <w:top w:w="0.0" w:type="dxa"/>
        <w:left w:w="5.0" w:type="dxa"/>
        <w:bottom w:w="0.0" w:type="dxa"/>
        <w:right w:w="5.0" w:type="dxa"/>
      </w:tblCellMar>
    </w:tblPr>
  </w:style>
  <w:style w:type="table" w:styleId="Table8">
    <w:basedOn w:val="TableNormal"/>
    <w:tblPr>
      <w:tblStyleRowBandSize w:val="1"/>
      <w:tblStyleColBandSize w:val="1"/>
      <w:tblCellMar>
        <w:top w:w="0.0" w:type="dxa"/>
        <w:left w:w="5.0" w:type="dxa"/>
        <w:bottom w:w="0.0" w:type="dxa"/>
        <w:right w:w="5.0" w:type="dxa"/>
      </w:tblCellMar>
    </w:tblPr>
  </w:style>
  <w:style w:type="table" w:styleId="Table9">
    <w:basedOn w:val="TableNormal"/>
    <w:tblPr>
      <w:tblStyleRowBandSize w:val="1"/>
      <w:tblStyleColBandSize w:val="1"/>
      <w:tblCellMar>
        <w:top w:w="0.0" w:type="dxa"/>
        <w:left w:w="5.0" w:type="dxa"/>
        <w:bottom w:w="0.0" w:type="dxa"/>
        <w:right w:w="5.0" w:type="dxa"/>
      </w:tblCellMar>
    </w:tblPr>
  </w:style>
  <w:style w:type="table" w:styleId="Table10">
    <w:basedOn w:val="TableNormal"/>
    <w:tblPr>
      <w:tblStyleRowBandSize w:val="1"/>
      <w:tblStyleColBandSize w:val="1"/>
      <w:tblCellMar>
        <w:top w:w="0.0" w:type="dxa"/>
        <w:left w:w="5.0" w:type="dxa"/>
        <w:bottom w:w="0.0" w:type="dxa"/>
        <w:right w:w="5.0" w:type="dxa"/>
      </w:tblCellMar>
    </w:tblPr>
  </w:style>
  <w:style w:type="table" w:styleId="Table11">
    <w:basedOn w:val="TableNormal"/>
    <w:tblPr>
      <w:tblStyleRowBandSize w:val="1"/>
      <w:tblStyleColBandSize w:val="1"/>
      <w:tblCellMar>
        <w:top w:w="0.0" w:type="dxa"/>
        <w:left w:w="5.0" w:type="dxa"/>
        <w:bottom w:w="0.0" w:type="dxa"/>
        <w:right w:w="5.0" w:type="dxa"/>
      </w:tblCellMar>
    </w:tblPr>
  </w:style>
  <w:style w:type="table" w:styleId="Table12">
    <w:basedOn w:val="TableNormal"/>
    <w:tblPr>
      <w:tblStyleRowBandSize w:val="1"/>
      <w:tblStyleColBandSize w:val="1"/>
      <w:tblCellMar>
        <w:top w:w="0.0" w:type="dxa"/>
        <w:left w:w="5.0" w:type="dxa"/>
        <w:bottom w:w="0.0" w:type="dxa"/>
        <w:right w:w="5.0" w:type="dxa"/>
      </w:tblCellMar>
    </w:tblPr>
  </w:style>
  <w:style w:type="table" w:styleId="Table13">
    <w:basedOn w:val="TableNormal"/>
    <w:tblPr>
      <w:tblStyleRowBandSize w:val="1"/>
      <w:tblStyleColBandSize w:val="1"/>
      <w:tblCellMar>
        <w:top w:w="0.0" w:type="dxa"/>
        <w:left w:w="5.0" w:type="dxa"/>
        <w:bottom w:w="0.0" w:type="dxa"/>
        <w:right w:w="5.0" w:type="dxa"/>
      </w:tblCellMar>
    </w:tblPr>
  </w:style>
  <w:style w:type="table" w:styleId="Table14">
    <w:basedOn w:val="TableNormal"/>
    <w:tblPr>
      <w:tblStyleRowBandSize w:val="1"/>
      <w:tblStyleColBandSize w:val="1"/>
      <w:tblCellMar>
        <w:top w:w="0.0" w:type="dxa"/>
        <w:left w:w="5.0" w:type="dxa"/>
        <w:bottom w:w="0.0" w:type="dxa"/>
        <w:right w:w="5.0" w:type="dxa"/>
      </w:tblCellMar>
    </w:tblPr>
  </w:style>
  <w:style w:type="table" w:styleId="Table15">
    <w:basedOn w:val="TableNormal"/>
    <w:tblPr>
      <w:tblStyleRowBandSize w:val="1"/>
      <w:tblStyleColBandSize w:val="1"/>
      <w:tblCellMar>
        <w:top w:w="0.0" w:type="dxa"/>
        <w:left w:w="5.0" w:type="dxa"/>
        <w:bottom w:w="0.0" w:type="dxa"/>
        <w:right w:w="5.0" w:type="dxa"/>
      </w:tblCellMar>
    </w:tblPr>
  </w:style>
  <w:style w:type="table" w:styleId="Table16">
    <w:basedOn w:val="TableNormal"/>
    <w:tblPr>
      <w:tblStyleRowBandSize w:val="1"/>
      <w:tblStyleColBandSize w:val="1"/>
      <w:tblCellMar>
        <w:top w:w="0.0" w:type="dxa"/>
        <w:left w:w="5.0" w:type="dxa"/>
        <w:bottom w:w="0.0" w:type="dxa"/>
        <w:right w:w="5.0" w:type="dxa"/>
      </w:tblCellMar>
    </w:tblPr>
  </w:style>
  <w:style w:type="table" w:styleId="Table17">
    <w:basedOn w:val="TableNormal"/>
    <w:tblPr>
      <w:tblStyleRowBandSize w:val="1"/>
      <w:tblStyleColBandSize w:val="1"/>
      <w:tblCellMar>
        <w:top w:w="0.0" w:type="dxa"/>
        <w:left w:w="5.0" w:type="dxa"/>
        <w:bottom w:w="0.0" w:type="dxa"/>
        <w:right w:w="5.0" w:type="dxa"/>
      </w:tblCellMar>
    </w:tblPr>
  </w:style>
  <w:style w:type="table" w:styleId="Table18">
    <w:basedOn w:val="TableNormal"/>
    <w:tblPr>
      <w:tblStyleRowBandSize w:val="1"/>
      <w:tblStyleColBandSize w:val="1"/>
      <w:tblCellMar>
        <w:top w:w="0.0" w:type="dxa"/>
        <w:left w:w="5.0" w:type="dxa"/>
        <w:bottom w:w="0.0" w:type="dxa"/>
        <w:right w:w="5.0" w:type="dxa"/>
      </w:tblCellMar>
    </w:tblPr>
  </w:style>
  <w:style w:type="table" w:styleId="Table19">
    <w:basedOn w:val="TableNormal"/>
    <w:tblPr>
      <w:tblStyleRowBandSize w:val="1"/>
      <w:tblStyleColBandSize w:val="1"/>
      <w:tblCellMar>
        <w:top w:w="0.0" w:type="dxa"/>
        <w:left w:w="5.0" w:type="dxa"/>
        <w:bottom w:w="0.0" w:type="dxa"/>
        <w:right w:w="5.0" w:type="dxa"/>
      </w:tblCellMar>
    </w:tblPr>
  </w:style>
  <w:style w:type="table" w:styleId="Table20">
    <w:basedOn w:val="TableNormal"/>
    <w:tblPr>
      <w:tblStyleRowBandSize w:val="1"/>
      <w:tblStyleColBandSize w:val="1"/>
      <w:tblCellMar>
        <w:top w:w="0.0" w:type="dxa"/>
        <w:left w:w="5.0" w:type="dxa"/>
        <w:bottom w:w="0.0" w:type="dxa"/>
        <w:right w:w="5.0" w:type="dxa"/>
      </w:tblCellMar>
    </w:tblPr>
  </w:style>
  <w:style w:type="table" w:styleId="Table21">
    <w:basedOn w:val="TableNormal"/>
    <w:tblPr>
      <w:tblStyleRowBandSize w:val="1"/>
      <w:tblStyleColBandSize w:val="1"/>
      <w:tblCellMar>
        <w:top w:w="0.0" w:type="dxa"/>
        <w:left w:w="5.0" w:type="dxa"/>
        <w:bottom w:w="0.0" w:type="dxa"/>
        <w:right w:w="5.0" w:type="dxa"/>
      </w:tblCellMar>
    </w:tblPr>
  </w:style>
  <w:style w:type="table" w:styleId="Table22">
    <w:basedOn w:val="TableNormal"/>
    <w:tblPr>
      <w:tblStyleRowBandSize w:val="1"/>
      <w:tblStyleColBandSize w:val="1"/>
      <w:tblCellMar>
        <w:top w:w="0.0" w:type="dxa"/>
        <w:left w:w="5.0" w:type="dxa"/>
        <w:bottom w:w="0.0" w:type="dxa"/>
        <w:right w:w="5.0" w:type="dxa"/>
      </w:tblCellMar>
    </w:tblPr>
  </w:style>
  <w:style w:type="table" w:styleId="Table23">
    <w:basedOn w:val="TableNormal"/>
    <w:tblPr>
      <w:tblStyleRowBandSize w:val="1"/>
      <w:tblStyleColBandSize w:val="1"/>
      <w:tblCellMar>
        <w:top w:w="0.0" w:type="dxa"/>
        <w:left w:w="5.0" w:type="dxa"/>
        <w:bottom w:w="0.0" w:type="dxa"/>
        <w:right w:w="5.0" w:type="dxa"/>
      </w:tblCellMar>
    </w:tblPr>
  </w:style>
  <w:style w:type="table" w:styleId="Table24">
    <w:basedOn w:val="TableNormal"/>
    <w:tblPr>
      <w:tblStyleRowBandSize w:val="1"/>
      <w:tblStyleColBandSize w:val="1"/>
      <w:tblCellMar>
        <w:top w:w="0.0" w:type="dxa"/>
        <w:left w:w="5.0" w:type="dxa"/>
        <w:bottom w:w="0.0" w:type="dxa"/>
        <w:right w:w="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jwlgSr5Qfh4EEWvcBZe4rYj4w==">AMUW2mUAbM7uBYsKZ61ENj4kyr8zVRlqGMf73r1YbpTANo/ztSQem+TzjvJtB+XaZBAc7mS9Vli/NUuXGvRUrEUb7hkX9Olfmuoq+2ag4VNDEOEcFt2AEe0=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2022-05-22T22:29:12Z</dcterms:created>
  <dc:creator>DPEMA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2022-05-22T00:00:00Z</vt:filetime>
  </property>
  <property fmtid="{D5CDD505-2E9C-101B-9397-08002B2CF9AE}" pid="3" name="Creator">
    <vt:lpwstr>TCExam ver.14.8.5</vt:lpwstr>
  </property>
  <property fmtid="{D5CDD505-2E9C-101B-9397-08002B2CF9AE}" pid="4" name="LastSaved">
    <vt:filetime>2022-05-22T00:00:00Z</vt:filetime>
  </property>
</Properties>
</file>