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Ind w:w="117.0" w:type="dxa"/>
        <w:tblLayout w:type="fixed"/>
        <w:tblLook w:val="00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63" w:lineRule="auto"/>
              <w:ind w:left="5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Prova - Psicologia (Pós Graduação)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Leia as afirmativas abaixo: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"/>
              </w:tabs>
              <w:spacing w:after="0" w:before="0" w:line="240" w:lineRule="auto"/>
              <w:ind w:left="171" w:right="0" w:hanging="118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 intervenções previstas no Código de Menores eram aplicáveis a todas as crianças e adolescentes brasileiros, sem favorecimentos e/ou impunidade.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0"/>
              </w:tabs>
              <w:spacing w:after="0" w:before="0" w:line="259" w:lineRule="auto"/>
              <w:ind w:left="54" w:right="169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Código de Menores consagrou a Doutrina de Situação Irregular, legalizou o atendimento que recolhia sem as devidas investigações e sem previsão de soltura de infratores, abandonados e vítimas.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"/>
              </w:tabs>
              <w:spacing w:after="0" w:before="0" w:line="259" w:lineRule="auto"/>
              <w:ind w:left="54" w:right="50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preocupação na gestão destes classificados como “irregulares” era na padronização no modelo conclamado naquela época. Modelo esse que atravessava toda sociedade, estabelecendo padrões que atendiam interesses econômicos e políticos.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5"/>
              </w:tabs>
              <w:spacing w:after="0" w:before="0" w:line="240" w:lineRule="auto"/>
              <w:ind w:left="264" w:right="0" w:hanging="211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código menorista não existia a equação pobreza igual à delinquência, por isso foi amplamente aceito.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Está correto o que se afirma em: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III e IV estão corretas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III está errada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 e III estão corretas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II e III estão corretas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2"/>
        <w:gridCol w:w="486"/>
        <w:gridCol w:w="1458"/>
        <w:gridCol w:w="1944"/>
        <w:gridCol w:w="1945"/>
        <w:gridCol w:w="1459"/>
        <w:gridCol w:w="1457"/>
        <w:tblGridChange w:id="0">
          <w:tblGrid>
            <w:gridCol w:w="484"/>
            <w:gridCol w:w="486"/>
            <w:gridCol w:w="486"/>
            <w:gridCol w:w="2"/>
            <w:gridCol w:w="486"/>
            <w:gridCol w:w="1458"/>
            <w:gridCol w:w="1944"/>
            <w:gridCol w:w="1945"/>
            <w:gridCol w:w="1459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respeito da Psicologia Jurídica no Brasil,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 possibilidades de intervenção da psicologia em interface com o direito tem se tornado cada vez mais escassas.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o estudo, dentro da perspectiva psicológica, de condutas complexas e que, de forma atual ou potencial, têm interesse jurídico, de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maneira a possibilitar sua descrição, análise, compreensão, crítica e eventual atuação sobre elas, em função do jurídico.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2010, o Conselho Federal de Psicologia emitiu 03 resoluções específicas para atuação na interface com direito.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Todas estão erradas.</w:t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1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Regina procurou atendimento psicológico por apresentar traços de ansiedade por conta de alguns conflitos com a namorada, Nina. Ela coloca que a namorada quer casar e tem lhe pressionado para oficializarem a união, contudo diz querer terminar faculdade e só depois pensar em casamento. Apesar de já viverem há seis anos juntas, entende que ainda não é o momento.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236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relação a casamentos entre LGBTQIA+, analise os itens a seguir e assinale com V (verdadeiro) ou com F (falso): ( ) Casais com união estável possuem menos direitos que os casais oficialmente casados.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396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) Não há validade jurídica para casamentos realizados por religiões de matrizes africanas. ( ) Com relação a casamentos, cada Estado do Brasil possui regulamento próprio.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) O casamento de um casal LGBTQIA+ só tem validade se ocorrer necessariamente no cartório.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partir da análise das afirmativas, a resposta correta é: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 – V – V – V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 – F – F – F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 – F – V – F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 – V – V – F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1459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1459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3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1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A.C.F, 50 anos, é filha de M.R.C., 82 anos, ambas compareceram ao atendimento no Núcleo do Idoso da Defensoria Pública do Maranhão. A.C.F apresentou, como demanda de atendimento, a interdição da mãe, pois esta, devido a idade avançada, não possuía mais capacidade de autodeterminar- se e/ou administrar seus bens. Informou também que ela deveria ser colocada como pessoa de referência para representar a mãe, pois os outros filhos residiam em outro domicílio e não manifestavam interesse em assumir os cuidados com a idosa. Questionou-se quanto tempo os demais filhos não tinham contato com a genitora e foi informado que desde que a filha e a idosa mudaram a cidade de domicílio (12 meses), os demais filhos não puderam mais visitá-la e há 03 meses A.C.F mudou o contato telefônico e não teve mais contato com os familiares. A filha informou que não pode trabalhar devido ao alto nível de dependência de sua genitora e que atualmente os custos de ambas são cobertos pelos rendimentos da idosa que somam um montante de R$ 5.300,00. Antes de morar com a filha, M.R.C residia sozinha na cidade que os demais familiares moram atualmente e 03 vezes por semana uma diarista comparecia a sua residência para realizar as tarefas domésticas. Durante o atendimento verificou-se que os óculos da idosa estavam quebrados, roupas gastas e abaixo do peso, sua filha porém estava vestida adequadamente, respondia todas as perguntas, inclusive as direcionadas à idosa, que mostrava dificuldade em se comunicar.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Tendo como referência o relato acima, está incorreto afirmar que:</w:t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460" w:top="1400" w:left="740" w:right="740" w:header="283" w:footer="272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10160" distT="10160" distL="10160" distR="10160" hidden="0" layoutInCell="1" locked="0" relativeHeight="0" simplePos="0">
                <wp:simplePos x="0" y="0"/>
                <wp:positionH relativeFrom="column">
                  <wp:posOffset>60960</wp:posOffset>
                </wp:positionH>
                <wp:positionV relativeFrom="paragraph">
                  <wp:posOffset>149860</wp:posOffset>
                </wp:positionV>
                <wp:extent cx="635" cy="12700"/>
                <wp:effectExtent b="0" l="0" r="0" t="0"/>
                <wp:wrapTopAndBottom distB="10160" distT="10160"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5640" y="3780000"/>
                          <a:ext cx="6480720" cy="0"/>
                        </a:xfrm>
                        <a:prstGeom prst="straightConnector1">
                          <a:avLst/>
                        </a:prstGeom>
                        <a:noFill/>
                        <a:ln cap="flat" cmpd="sng" w="108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0160" distT="10160" distL="10160" distR="10160" hidden="0" layoutInCell="1" locked="0" relativeHeight="0" simplePos="0">
                <wp:simplePos x="0" y="0"/>
                <wp:positionH relativeFrom="column">
                  <wp:posOffset>60960</wp:posOffset>
                </wp:positionH>
                <wp:positionV relativeFrom="paragraph">
                  <wp:posOffset>149860</wp:posOffset>
                </wp:positionV>
                <wp:extent cx="635" cy="12700"/>
                <wp:effectExtent b="0" l="0" r="0" t="0"/>
                <wp:wrapTopAndBottom distB="10160" distT="10160"/>
                <wp:docPr id="2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9.0" w:type="dxa"/>
        <w:jc w:val="left"/>
        <w:tblInd w:w="605.0" w:type="dxa"/>
        <w:tblLayout w:type="fixed"/>
        <w:tblLook w:val="0000"/>
      </w:tblPr>
      <w:tblGrid>
        <w:gridCol w:w="484"/>
        <w:gridCol w:w="486"/>
        <w:gridCol w:w="8749"/>
        <w:tblGridChange w:id="0">
          <w:tblGrid>
            <w:gridCol w:w="484"/>
            <w:gridCol w:w="486"/>
            <w:gridCol w:w="8749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Contactar com CREAS do território é pertinente.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Que devido a apresentação pessoal e a dificuldade de comunicação da idosa é nítido que a mesma necessita ser interditada.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89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Segundo o artigo 19 do estatuto do idoso os casos de suspeita ou de confirmação de maus-tratos contra idosos serão obrigatoriamente comunicados pelos profissionais de saúde, a quaisquer dos seguintes órgãos: autoridade policial, Ministério Público, Conselho Municipal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 Idoso, Conselho Estadual do Idoso e ao Conselho Nacional do Idoso.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 faz necessário contatar outros familiares antes de solicitar a interdição da idosa, além da avaliação especializada em saúde.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“Caracterizado pela compulsão que indica falhas no controle interno, o qual deveria obstaculizar a efetivação do ato abusivo” (Furniss 1993). O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enunciado acima diz respeito 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Síndrome de Adição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Comportamento Sexual Compulsivo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Transtorno do desejo sexual hiperativo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Comportamento Sexual Obsessivo Compulsivo</w:t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2"/>
        <w:gridCol w:w="485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2"/>
            <w:gridCol w:w="485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Nos últimos anos, temos acompanhados significativas mudanças no conceito de família. O paradigma do biologismo em que a filiação era exclusivamente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1" w:lineRule="auto"/>
              <w:ind w:left="54" w:right="11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determinada pela origem biológica, o tradicional e conservador modelo familiar patriarcalista, matrimonializado, heterossexual, monogâmico e hierarquizado tem cedido lugar para um modelo mais contextualizado, que ampliou os critérios de filiação. Sobre esse tema,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família socioafetiva não é reconhecida pelo Estado.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desbiologização é um conceito transversal a diversos campos da ciência, permeando a antropologia, a biologia, a psicologia e a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1" w:lineRule="auto"/>
              <w:ind w:left="54" w:right="16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sociologia, todas as contribuições que advirem dessas áreas são fundamentais para a compreensão do individuo. Todos esses aspectos precisam ser levados para qualificar a relação entre pais e filhos.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Estado não desempenhou um papel importante na transição de uma concepção patrimonialista da família para uma nova concepção,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centrada na pessoa humana.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Código Civil de 2002, frautando as expectativas dos movimentos sociais, não concebeu uma forma mais ampla das relações de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parentesco, onde o afeto e a responsabilidade seriam considerados os pontos mais relevantes na formação da estrutura familiar.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Acerca da atuação do profissional de psicologia na Defensoria Pública do Maranhão, julgue os itens a seguir.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"/>
              </w:tabs>
              <w:spacing w:after="0" w:before="0" w:line="240" w:lineRule="auto"/>
              <w:ind w:left="171" w:right="0" w:hanging="118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profissional de psicologia realiza visitas domiciliares e institucionais.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0"/>
              </w:tabs>
              <w:spacing w:after="0" w:before="14" w:line="240" w:lineRule="auto"/>
              <w:ind w:left="209" w:right="0" w:hanging="156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profissional de psicologia realiza mapeamento das demandas coletivas junto aos movimentos sociais e sociedade civil.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"/>
              </w:tabs>
              <w:spacing w:after="0" w:before="14" w:line="240" w:lineRule="auto"/>
              <w:ind w:left="248" w:right="0" w:hanging="195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profissional de psicologia participa de mediação e conciliação de conflitos.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5"/>
              </w:tabs>
              <w:spacing w:after="0" w:before="14" w:line="259" w:lineRule="auto"/>
              <w:ind w:left="54" w:right="31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profissional de psicologia participa na construção de agenda de trabalho com a ouvidoria da Defensoria para construção de ações conjuntas nas comunidades.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 base nos itens acima, assinale a alternativa 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Apenas o item I, III e IV estão certos.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Apenas os itens I e II estão certos.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Todos os itens estão certos.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Apenas os itens II, III e IV estão certos.</w:t>
            </w:r>
          </w:p>
        </w:tc>
      </w:tr>
    </w:tbl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2"/>
        <w:gridCol w:w="486"/>
        <w:gridCol w:w="1458"/>
        <w:gridCol w:w="1944"/>
        <w:gridCol w:w="1945"/>
        <w:gridCol w:w="1459"/>
        <w:gridCol w:w="1457"/>
        <w:tblGridChange w:id="0">
          <w:tblGrid>
            <w:gridCol w:w="484"/>
            <w:gridCol w:w="486"/>
            <w:gridCol w:w="486"/>
            <w:gridCol w:w="2"/>
            <w:gridCol w:w="486"/>
            <w:gridCol w:w="1458"/>
            <w:gridCol w:w="1944"/>
            <w:gridCol w:w="1945"/>
            <w:gridCol w:w="1459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Psicologia Jurídica no Brasil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psicologia jurídica é umas das áreas de atuação que possuem menores números de representações contra profissionais nos conselhos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regionais.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Todas estão erradas.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Devido os cargos disponibilizados para psicólogos no contexto jurídico receberem a titulação de Analista Judiciário, os profissionais da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psicologia que exercem sua função nestes contextos não são obrigados a seguir as normativas do CFP.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2010 o Conselho Federal de Psicologia emitiu 03 resoluções específicas para atuação na interface com direito.</w:t>
            </w:r>
          </w:p>
        </w:tc>
      </w:tr>
    </w:tbl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9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S.P.T, 37 anos, é a genitora de A.T.C., 09 anos. Mãe e filha compareceram ao atendimento previamente agendado com Defensor(a) Público(a) para falar sobre o processo de divórcio litigioso e solicitação de guarda unilateral de A.T.C em favor de S.PT. Durante o atendimento, a mãe da criança afirmou que ela era quem na prática resolvia tudo da criança, que quando a filha ia para o atual endereço do genitor sempre voltava doente, que era necessário ligar constantemente para o ex marido enquanto ele estava com a criança para verificar se os cuidados necessários estavam sendo prestados e que atualmente a criança decidiu não ir as visitas com o pai pois não se sente segura com o mesmo. Quando questionada sobre a necessidade do pedido de guarda unilateral, a mãe informou que teme pela estabilidade emocional da filha caso o pai insista em continuar próximo, alegando ser este irresponsável e não qualificado para exercer sua paternidade. O(a) Defensor(a) interrompeu o atendimento e sinalizou a necessidade de encaminhar a criança para a brinquedoteca, pois compreendia que não era adequado a presença da criança durante o atendimento com mãe. S.P.T concordou, mas acrescentou que a criança é ciente dos fatos e A.T.C disse ao sair da sala “meu pai não sabe cuidar de mim”. O(a) Defensor(a), ao final do atendimento, solicitou o acompanhamento do setor de psicologia.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Tendo como referência o relato acima está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solicitação de guarda unilateral está correta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Suspeita de Alienação Parental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Não existe demanda para o setor da psicologia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visitação do pai deve ser suspensa para a estabilidade emocional da criança.</w:t>
            </w:r>
          </w:p>
        </w:tc>
      </w:tr>
    </w:tbl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1459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1459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7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28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Marcelo relatou, durante seu atendimento com o Defensor Público, que, aos 12 (doze) anos de idade, seus genitores se separaram. Após a separação, seu pai ainda ia buscá-lo em fins de semana alternados para ficar com ele, mas, com o passar dos anos, isso deixou de acontecer. Até os 14 (quatorze) anos de idade, Marcelo diz que buscava manter uma relação com o genitor, entretanto, ele sempre recusava suas ligações ou o ignorava todas as vezes que o encontrava, como se fosse uma pessoa totalmente desconhecida. Apesar de todo o afastamento do pai, ele sempre pagou a pensão determinada</w:t>
            </w:r>
          </w:p>
        </w:tc>
      </w:tr>
    </w:tbl>
    <w:p w:rsidR="00000000" w:rsidDel="00000000" w:rsidP="00000000" w:rsidRDefault="00000000" w:rsidRPr="00000000" w14:paraId="00000259">
      <w:pPr>
        <w:rPr/>
        <w:sectPr>
          <w:headerReference r:id="rId10" w:type="default"/>
          <w:footerReference r:id="rId11" w:type="default"/>
          <w:type w:val="nextPage"/>
          <w:pgSz w:h="16838" w:w="11906" w:orient="portrait"/>
          <w:pgMar w:bottom="460" w:top="148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19.0" w:type="dxa"/>
        <w:jc w:val="left"/>
        <w:tblInd w:w="603.0" w:type="dxa"/>
        <w:tblLayout w:type="fixed"/>
        <w:tblLook w:val="0000"/>
      </w:tblPr>
      <w:tblGrid>
        <w:gridCol w:w="484"/>
        <w:gridCol w:w="486"/>
        <w:gridCol w:w="8749"/>
        <w:tblGridChange w:id="0">
          <w:tblGrid>
            <w:gridCol w:w="484"/>
            <w:gridCol w:w="486"/>
            <w:gridCol w:w="8749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9" w:lineRule="auto"/>
              <w:ind w:left="54" w:right="4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pela justiça. Com 26 (vinte e seis) anos de idade, Marcelo diz fazer acompanhamento psicológico devido aos danos emocionais gerados pela relação com o genitor.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a situação acima o texto refere-se 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Alienação Parental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Abandono Afetivo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Abandono Material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Estresse Pós-traumático</w:t>
            </w:r>
          </w:p>
        </w:tc>
      </w:tr>
    </w:tbl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59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Rosa tem 75 anos e apresenta algumas limitações físicas, logo, precisa do auxílio de terceiros para se locomover. Ela mora com a sua filha, Maria, e os dois netos maiores de idade. Maria sai durante a semana para trabalhar e deixa a mãe aos cuidados dos netos na sua ausência. Eles passam a maior parte do tempo ao celular, ou assistindo tv, esquecendo-se de dar a medicação e alimentação no horário. Além disso, só realizam a higiene da avó quando se aproxima o horário de chegada da Maria. Quando são cobrados por Rosa (avó), costumam reagir com palavras ofensivas, xingamentos e até empurrões.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 base nessa situação, assinale a opção correta no que se refere à violência contra o idoso.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Por se tratar de conduta de violência intrafamiliar, a queixa só pode ser realizada na delegacia do idoso.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Nessa situação, a suspeita de violência psicológica cabe somente à notificação como meio de prevenção.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preenchimento da ficha única de notificação é dispensável em situações de violência intrafamiliar.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Caso seja verificada a ocorrência de violência física, negligência e violência psicologia, os netos poderão sofrer pena de detenção.</w:t>
            </w:r>
          </w:p>
        </w:tc>
      </w:tr>
    </w:tbl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2"/>
        <w:gridCol w:w="486"/>
        <w:gridCol w:w="1458"/>
        <w:gridCol w:w="1944"/>
        <w:gridCol w:w="1945"/>
        <w:gridCol w:w="1459"/>
        <w:gridCol w:w="1457"/>
        <w:tblGridChange w:id="0">
          <w:tblGrid>
            <w:gridCol w:w="484"/>
            <w:gridCol w:w="486"/>
            <w:gridCol w:w="486"/>
            <w:gridCol w:w="2"/>
            <w:gridCol w:w="486"/>
            <w:gridCol w:w="1458"/>
            <w:gridCol w:w="1944"/>
            <w:gridCol w:w="1945"/>
            <w:gridCol w:w="1459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a Lei 10.216/2001, é correto afirmar: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Todas estão incorretas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Dispõe sobre a proteção e os direitos das pessoas portadoras de transtornos mentais e redireciona o modelo assistencial em saúde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mental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Ser tratada, exclusivamente, em serviços comunitários de saúde mental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Foi promulgado no dia 18 de maio de 2001, em alusão ao Dia Nacional da Luta Antimanicomial</w:t>
            </w:r>
          </w:p>
        </w:tc>
      </w:tr>
    </w:tbl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3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59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Durante o atendimento de Maria com o psicólogo no Núcleo de Defesa da Mulher e População LGBT da Defensoria Pública do Maranhão, esta declarou que seu cunhado, Mario, a destrata na frente dos vizinhos, a desvaloriza por conta de suas vestimentas, faz acusações mentirosas, bem como já a acusou de infidelidade para o namorado.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Acerca da narrativa acima,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conduta do Mario não se aplica na lei Maria da Penha por ser cunhado da relatora.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Por serem cunhados e morarem na mesma casa a medida protetiva é incabível.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ato do cunhado consiste em uma conduta de violência moral contra Maria.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 acusações feitas pelo Mario só se configura como desentendimento entre cunhados.</w:t>
            </w:r>
          </w:p>
        </w:tc>
      </w:tr>
    </w:tbl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2"/>
        <w:gridCol w:w="486"/>
        <w:gridCol w:w="1458"/>
        <w:gridCol w:w="1944"/>
        <w:gridCol w:w="1945"/>
        <w:gridCol w:w="1459"/>
        <w:gridCol w:w="1457"/>
        <w:tblGridChange w:id="0">
          <w:tblGrid>
            <w:gridCol w:w="484"/>
            <w:gridCol w:w="486"/>
            <w:gridCol w:w="486"/>
            <w:gridCol w:w="2"/>
            <w:gridCol w:w="486"/>
            <w:gridCol w:w="1458"/>
            <w:gridCol w:w="1944"/>
            <w:gridCol w:w="1945"/>
            <w:gridCol w:w="1459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a alienação parental é incorreto afirmar: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9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Entre as medidas previstas para serem aplicadas pelo juiz, segundo a gravidade de cada caso, estão: advertência, ampliação do regime de convivência, multa, acompanhamento psicológico, fixação cautelar de domicílio, inversão da guarda e suspensão da autoridade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parental.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4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Lei 12318/10 dispõe sobre a alienação parental, considerando-a uma forma de ferir o direito fundamental da criança ou do adolescente de convivência familiar saudável, eis que prejudica a realização do afeto nas relações com o genitor e com o grupo familiar, constituindo abuso moral contra a criança ou adolescente e descumprimento dos deveres inerentes à autoridade parental ou decorrentes de tutela ou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guarda.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Alienação parental é um termo criado na década de 80, pelo psiquiatra Dr. Richard Gardner.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É um tema desconhecido ao público em geral, devido sua baixa frequência.</w:t>
            </w:r>
          </w:p>
        </w:tc>
      </w:tr>
    </w:tbl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5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Paulo tinha uma união estável de 12 (doze) anos com Maria. Dessa relação, adveio um casal de filhos, com a idade de 08 (oito) e 06 (seis) anos. No entanto, há três meses, estão separados. Paulo declarou para o Defensor Público que, desde a separação, não consegue visitar os filhos, pois a mãe não permite, e as vezes em que aconteceu, notou as crianças distantes. Não aceitaram seu carinho, bem como, pediam para ficar com mãe. Ele revela que quando ainda morava com a Maria e os filhos, as crianças eram bem diferentes, alegando serem mais próximos dele do que da mãe. Portanto, Paulo solicita o direito de visita dos filhos, mas receia que a genitora esteja praticando alienação parental, apesar de desconhecer que os filhos sofram outro tipo de violência.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relação a situação descrita acima, Paulo foi encaminhado para ter o primeiro atendimento em qual Núcleo Especializado da Defensoria Pública do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Maranhão: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Núcleo de atendimento Cível.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Núcleo de atuação forense nas varas de família.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Núcleo de defesa da Criança e do Adolescente.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Núcleo de atendimento a Família.</w:t>
            </w:r>
          </w:p>
        </w:tc>
      </w:tr>
    </w:tbl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2"/>
        <w:gridCol w:w="486"/>
        <w:gridCol w:w="1458"/>
        <w:gridCol w:w="1944"/>
        <w:gridCol w:w="1945"/>
        <w:gridCol w:w="1459"/>
        <w:gridCol w:w="1457"/>
        <w:tblGridChange w:id="0">
          <w:tblGrid>
            <w:gridCol w:w="484"/>
            <w:gridCol w:w="486"/>
            <w:gridCol w:w="486"/>
            <w:gridCol w:w="2"/>
            <w:gridCol w:w="486"/>
            <w:gridCol w:w="1458"/>
            <w:gridCol w:w="1944"/>
            <w:gridCol w:w="1945"/>
            <w:gridCol w:w="1459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3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o atendimento psicossocial de crianças e adolescentes vítimas de violência sexual na Defensoria Pública,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Um ponto fundamental das intervenções da equipe, inclusive do psicólogo, é o encaminhamento monitorado das demandas das vítimas e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familiares para a Rede de Atendimento, haja vista que a atuação do psicólogo na unidade judicial é claramente jurídica e não clínica.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setor de psicologia da Defensoria Pública é o responsável para conduzir o Depoimento Especial, também conhecido como Depoimento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Sem Danos.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Não é competência da Defensoria Pública atender essa demanda.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São atendimentos simples, especialmente os casos infrafamiliar, pois já é um assunto amplamente abordado, e os fatos são sempre</w:t>
            </w:r>
          </w:p>
        </w:tc>
      </w:tr>
    </w:tbl>
    <w:p w:rsidR="00000000" w:rsidDel="00000000" w:rsidP="00000000" w:rsidRDefault="00000000" w:rsidRPr="00000000" w14:paraId="000003FF">
      <w:pPr>
        <w:rPr/>
        <w:sectPr>
          <w:headerReference r:id="rId12" w:type="default"/>
          <w:footerReference r:id="rId13" w:type="default"/>
          <w:type w:val="nextPage"/>
          <w:pgSz w:h="16838" w:w="11906" w:orient="portrait"/>
          <w:pgMar w:bottom="460" w:top="148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3" w:lineRule="auto"/>
        <w:ind w:left="15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559425" cy="116205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66620" y="3722220"/>
                          <a:ext cx="5559425" cy="116205"/>
                          <a:chOff x="2566620" y="3722220"/>
                          <a:chExt cx="5558760" cy="231840"/>
                        </a:xfrm>
                      </wpg:grpSpPr>
                      <wpg:grpSp>
                        <wpg:cNvGrpSpPr/>
                        <wpg:grpSpPr>
                          <a:xfrm>
                            <a:off x="2566620" y="3722220"/>
                            <a:ext cx="5558760" cy="231840"/>
                            <a:chOff x="0" y="-116280"/>
                            <a:chExt cx="5558760" cy="23184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-116280"/>
                              <a:ext cx="5558750" cy="115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440" y="0"/>
                              <a:ext cx="5555160" cy="113760"/>
                            </a:xfrm>
                            <a:custGeom>
                              <a:rect b="b" l="l" r="r" t="t"/>
                              <a:pathLst>
                                <a:path extrusionOk="0" h="315" w="15429"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moveTo>
                                    <a:pt x="15428" y="0"/>
                                  </a:moveTo>
                                  <a:lnTo>
                                    <a:pt x="15428" y="314"/>
                                  </a:lnTo>
                                  <a:lnTo>
                                    <a:pt x="15428" y="0"/>
                                  </a:lnTo>
                                  <a:moveTo>
                                    <a:pt x="15428" y="314"/>
                                  </a:moveTo>
                                  <a:lnTo>
                                    <a:pt x="0" y="314"/>
                                  </a:lnTo>
                                  <a:lnTo>
                                    <a:pt x="15428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5558760" cy="115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revelados nas perícias iniciais feitas na fase investigativa/policial.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59425" cy="116205"/>
                <wp:effectExtent b="0" l="0" r="0" t="0"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9425" cy="116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José tem 15 (quinze) anos idade e cometeu um ato infracional equiparado ao crime de roubo, contudo o adolescente infrator apresenta transtorno mental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que impede que ele possua discernimento em relação delito cometido. Diante do caso apresentado, qual a medida mais adequada a ser aplicada: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inserção em regime de semi-liberdade.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medida de proteção, consistente em requisição de tratamento médico, psicológico ou psiquiátrico, em regime hospitalar ou ambulatorial.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internação em estabelecimento sócio educacional.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advertência</w:t>
            </w:r>
          </w:p>
        </w:tc>
      </w:tr>
    </w:tbl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Centro Integrado de Apoio à Pessoa com Deficiência (CIAPD) da Defensoria Pública do Maranhão, um dos métodos utilizados para resolução de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conflitos é a mediação. Com relação ao papel do mediador, analise os itens a seguir e assinale alternativa incorreta.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mediador dentro do processo não tem poder de decisão.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processo de mediação visto a complexidade do caso, outros mediadores poderão atuar em conjunto quando for solicitado.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 processo de mediação todos os profissionais envolvidos no caso devem estar presentes.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mediação atua de forma a restaurar a autonomia dos envolvidos a partir de uma comunicação efetiva.</w:t>
            </w:r>
          </w:p>
        </w:tc>
      </w:tr>
    </w:tbl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2"/>
        <w:gridCol w:w="486"/>
        <w:gridCol w:w="1458"/>
        <w:gridCol w:w="1944"/>
        <w:gridCol w:w="1945"/>
        <w:gridCol w:w="1459"/>
        <w:gridCol w:w="1457"/>
        <w:tblGridChange w:id="0">
          <w:tblGrid>
            <w:gridCol w:w="484"/>
            <w:gridCol w:w="486"/>
            <w:gridCol w:w="486"/>
            <w:gridCol w:w="2"/>
            <w:gridCol w:w="486"/>
            <w:gridCol w:w="1458"/>
            <w:gridCol w:w="1944"/>
            <w:gridCol w:w="1945"/>
            <w:gridCol w:w="1459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19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a Violência de Gênero,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Está restrita ao ambiente intra familiar.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ideologia da sociedade patriarcal não legitimada a Violência de Gênero.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 humilhações, estupros, ameaças, assédios sexuais e ofensas morais que atingem as mulheres não são frutos da desigualdade de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gênero e sim da insegurança pública.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0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Abrange não apenas as mulheres, mas também crianças e adolescentes, objeto da violência masculina, que no Brasil é constitutiva das relações de gênero. Engloba também diferentes formas de violência envolvendo relações de gênero e poder, como a violência perpetrada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pelo homem contra a mulher, a violência praticada pela mulher contra o homem, a violência entre mulheres e a violência entre homens.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207.0" w:type="dxa"/>
        <w:jc w:val="left"/>
        <w:tblInd w:w="120.0" w:type="dxa"/>
        <w:tblLayout w:type="fixed"/>
        <w:tblLook w:val="0000"/>
      </w:tblPr>
      <w:tblGrid>
        <w:gridCol w:w="484"/>
        <w:gridCol w:w="486"/>
        <w:gridCol w:w="486"/>
        <w:gridCol w:w="487"/>
        <w:gridCol w:w="1459"/>
        <w:gridCol w:w="1943"/>
        <w:gridCol w:w="1944"/>
        <w:gridCol w:w="1461"/>
        <w:gridCol w:w="1457"/>
        <w:tblGridChange w:id="0">
          <w:tblGrid>
            <w:gridCol w:w="484"/>
            <w:gridCol w:w="486"/>
            <w:gridCol w:w="486"/>
            <w:gridCol w:w="487"/>
            <w:gridCol w:w="1459"/>
            <w:gridCol w:w="1943"/>
            <w:gridCol w:w="1944"/>
            <w:gridCol w:w="1461"/>
            <w:gridCol w:w="1457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20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3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Clara participa de reuniões semanais em um ambulatório especializado, uma vez que possui hanseníase, porém faltou a duas reuniões seguidamente. Antônia, psicóloga do ambulatório, ligou para a Clara para saber o motivo da sua ausência. Durante a ligação, foi comunicado por Marcela, companheira da Clara, que esta não frequentará mais as reuniões do ambulatório, uma vez que deve ficar em casa cuidando dos afazeres domésticos e logo desligou o telefone.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relação a situação apresentada, analise os seguintes itens: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"/>
              </w:tabs>
              <w:spacing w:after="0" w:before="0" w:line="240" w:lineRule="auto"/>
              <w:ind w:left="178" w:right="0" w:hanging="125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Clara está sendo vítima de ameaças por parte de sua companheira, o que se configura violência psicológica;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8"/>
              </w:tabs>
              <w:spacing w:after="0" w:before="0" w:line="240" w:lineRule="auto"/>
              <w:ind w:left="217" w:right="0" w:hanging="16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Não caberia a Clara requerer medidas protetivas de urgência, uma vez que não sofreu lesão corporal;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7"/>
              </w:tabs>
              <w:spacing w:after="0" w:before="0" w:line="259" w:lineRule="auto"/>
              <w:ind w:left="54" w:right="96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Clara poderia registrar um Boletim de Ocorrência pela internet, mas para requerer uma medida protetiva de urgência deverá comparecer presencialmente a Delegacia da Mulher;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3"/>
              </w:tabs>
              <w:spacing w:after="0" w:before="0" w:line="350" w:lineRule="auto"/>
              <w:ind w:left="54" w:right="63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Antônia, como psicóloga que acompanha Clara, deve aplicar a Marcela a medida de comparecimento a um grupo de reflexão sobre violência. A partir da análise dos itens acima, assinale a afirmativa correta.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0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Apenas o item IV está errado.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Apenas o itens I, III estão certos.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Apenas o item III está certo.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Todos os itens estão errados.</w:t>
            </w:r>
          </w:p>
        </w:tc>
      </w:tr>
    </w:tbl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6838" w:w="11906" w:orient="portrait"/>
      <w:pgMar w:bottom="460" w:top="1480" w:left="740" w:right="740" w:header="283" w:footer="27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oto Sans Symbol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1 /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3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640" y="3780000"/>
                        <a:ext cx="648072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9115" cy="13589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081580" y="3717180"/>
                        <a:ext cx="528840" cy="12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2 /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9115" cy="135890"/>
              <wp:effectExtent b="0" l="0" r="0" t="0"/>
              <wp:wrapNone/>
              <wp:docPr id="2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" cy="135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640" y="3780000"/>
                        <a:ext cx="648072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9115" cy="13589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1580" y="3717180"/>
                        <a:ext cx="528840" cy="12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3 /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9115" cy="135890"/>
              <wp:effectExtent b="0" l="0" r="0" t="0"/>
              <wp:wrapNone/>
              <wp:docPr id="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" cy="135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640" y="3780000"/>
                        <a:ext cx="648072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9115" cy="135890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5081580" y="3717180"/>
                        <a:ext cx="528840" cy="12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4 /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9115" cy="135890"/>
              <wp:effectExtent b="0" l="0" r="0" t="0"/>
              <wp:wrapNone/>
              <wp:docPr id="3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" cy="135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3187700</wp:posOffset>
          </wp:positionH>
          <wp:positionV relativeFrom="page">
            <wp:posOffset>93980</wp:posOffset>
          </wp:positionV>
          <wp:extent cx="899795" cy="620395"/>
          <wp:effectExtent b="0" l="0" r="0" t="0"/>
          <wp:wrapNone/>
          <wp:docPr id="35" name="image13.png"/>
          <a:graphic>
            <a:graphicData uri="http://schemas.openxmlformats.org/drawingml/2006/picture">
              <pic:pic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640" y="3780000"/>
                        <a:ext cx="648072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32" name="image13.png"/>
          <a:graphic>
            <a:graphicData uri="http://schemas.openxmlformats.org/drawingml/2006/picture">
              <pic:pic>
                <pic:nvPicPr>
                  <pic:cNvPr id="0" name="image1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640" y="3780000"/>
                        <a:ext cx="648072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34" name="image13.png"/>
          <a:graphic>
            <a:graphicData uri="http://schemas.openxmlformats.org/drawingml/2006/picture">
              <pic:pic>
                <pic:nvPicPr>
                  <pic:cNvPr id="0" name="image1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640" y="3780000"/>
                        <a:ext cx="648072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2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33" name="image13.png"/>
          <a:graphic>
            <a:graphicData uri="http://schemas.openxmlformats.org/drawingml/2006/picture">
              <pic:pic>
                <pic:nvPicPr>
                  <pic:cNvPr id="0" name="image1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-"/>
      <w:lvlJc w:val="left"/>
      <w:pPr>
        <w:ind w:left="178" w:hanging="125"/>
      </w:pPr>
      <w:rPr>
        <w:rFonts w:ascii="Arial MT" w:cs="Arial MT" w:eastAsia="Arial MT" w:hAnsi="Arial MT"/>
        <w:sz w:val="14"/>
        <w:szCs w:val="14"/>
      </w:rPr>
    </w:lvl>
    <w:lvl w:ilvl="1">
      <w:start w:val="0"/>
      <w:numFmt w:val="bullet"/>
      <w:lvlText w:val="●"/>
      <w:lvlJc w:val="left"/>
      <w:pPr>
        <w:ind w:left="1133" w:hanging="125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86" w:hanging="125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39" w:hanging="12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992" w:hanging="12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946" w:hanging="125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899" w:hanging="125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852" w:hanging="125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05" w:hanging="125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71" w:hanging="116.99999999999997"/>
      </w:pPr>
      <w:rPr>
        <w:rFonts w:ascii="Arial MT" w:cs="Arial MT" w:eastAsia="Arial MT" w:hAnsi="Arial MT"/>
        <w:sz w:val="14"/>
        <w:szCs w:val="14"/>
      </w:rPr>
    </w:lvl>
    <w:lvl w:ilvl="1">
      <w:start w:val="0"/>
      <w:numFmt w:val="bullet"/>
      <w:lvlText w:val="●"/>
      <w:lvlJc w:val="left"/>
      <w:pPr>
        <w:ind w:left="1133" w:hanging="117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86" w:hanging="117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39" w:hanging="117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992" w:hanging="117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946" w:hanging="117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899" w:hanging="117.0000000000009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852" w:hanging="117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05" w:hanging="117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71" w:hanging="116.99999999999997"/>
      </w:pPr>
      <w:rPr>
        <w:rFonts w:ascii="Arial MT" w:cs="Arial MT" w:eastAsia="Arial MT" w:hAnsi="Arial MT"/>
        <w:sz w:val="14"/>
        <w:szCs w:val="14"/>
      </w:rPr>
    </w:lvl>
    <w:lvl w:ilvl="1">
      <w:start w:val="0"/>
      <w:numFmt w:val="bullet"/>
      <w:lvlText w:val="●"/>
      <w:lvlJc w:val="left"/>
      <w:pPr>
        <w:ind w:left="1133" w:hanging="117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86" w:hanging="117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39" w:hanging="117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992" w:hanging="117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946" w:hanging="117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899" w:hanging="117.0000000000009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852" w:hanging="117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05" w:hanging="117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 w:line="240" w:lineRule="auto"/>
      <w:ind w:left="0" w:right="0" w:hanging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>
      <w:spacing w:after="0" w:before="10"/>
    </w:pPr>
    <w:rPr>
      <w:rFonts w:ascii="Arial MT" w:cs="Arial MT" w:eastAsia="Arial MT" w:hAnsi="Arial MT"/>
      <w:sz w:val="14"/>
      <w:szCs w:val="14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after="0" w:before="7" w:line="151" w:lineRule="exact"/>
    </w:pPr>
    <w:rPr>
      <w:rFonts w:ascii="Arial MT" w:cs="Arial MT" w:eastAsia="Arial MT" w:hAnsi="Arial MT"/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header" Target="header4.xml"/><Relationship Id="rId14" Type="http://schemas.openxmlformats.org/officeDocument/2006/relationships/image" Target="media/image5.png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8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3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6v1t4B/nTSRQU/odmP5WxWKr3w==">AMUW2mXohgA0XpH5k3ZO6lYzWUsrapM2WfL/jok9X0X/veD2zC6YguRAI+Mpb8vutmzCo9+q77bgjDMR+Tdnp2f8pgxpTXDTYUDYEpNxl9QwXjP8Jg7ymnM=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2022-05-22T22:45:10Z</dcterms:created>
  <dc:creator>DPEMA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2022-05-22T00:00:00Z</vt:filetime>
  </property>
  <property fmtid="{D5CDD505-2E9C-101B-9397-08002B2CF9AE}" pid="3" name="Creator">
    <vt:lpwstr>TCExam ver.14.8.5</vt:lpwstr>
  </property>
  <property fmtid="{D5CDD505-2E9C-101B-9397-08002B2CF9AE}" pid="4" name="LastSaved">
    <vt:filetime>2022-05-22T00:00:00Z</vt:filetime>
  </property>
</Properties>
</file>