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142875</wp:posOffset>
            </wp:positionV>
            <wp:extent cx="861060" cy="7092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005/2023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59.20000000000005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IV PROCESSO SELETIVO PARA PROFISSIONAIS E ESTAGIÁRIOS DO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B">
      <w:pPr>
        <w:spacing w:after="240" w:before="240" w:line="259.20000000000005" w:lineRule="auto"/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240" w:line="259.20000000000005" w:lineRule="auto"/>
        <w:ind w:firstLine="72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IV PROCESSO SELETIVO PARA PROFISSIONAIS E ESTAGIÁRIOS DO PROJETO FORTALECIMENTO DA ASSISTÊNCIA JURÍDICA E IMPLANTAÇÃO DA VISITA VIRTUAL PARA PESSOAS PRIVADAS DE LIBERDADE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PRORROGAR</w:t>
      </w:r>
      <w:r w:rsidDel="00000000" w:rsidR="00000000" w:rsidRPr="00000000">
        <w:rPr>
          <w:rtl w:val="0"/>
        </w:rPr>
        <w:t xml:space="preserve"> por 01 (um) ano o prazo de validade do </w:t>
      </w:r>
      <w:r w:rsidDel="00000000" w:rsidR="00000000" w:rsidRPr="00000000">
        <w:rPr>
          <w:b w:val="1"/>
          <w:rtl w:val="0"/>
        </w:rPr>
        <w:t xml:space="preserve">IV PROCESSO SELETIVO PARA PROFISSIONAIS E ESTAGIÁRIOS DO PROJETO FORTALECIMENTO DA ASSISTÊNCIA JURÍDICA E IMPLANTAÇÃO DA VISITA VIRTUAL PARA PESSOAS PRIVADAS DE LIBERDADE DO ESTADO DO MARANHÃO </w:t>
      </w:r>
      <w:r w:rsidDel="00000000" w:rsidR="00000000" w:rsidRPr="00000000">
        <w:rPr>
          <w:rtl w:val="0"/>
        </w:rPr>
        <w:t xml:space="preserve">, homologado em 08 de abril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- </w:t>
      </w:r>
      <w:r w:rsidDel="00000000" w:rsidR="00000000" w:rsidRPr="00000000">
        <w:rPr>
          <w:rtl w:val="0"/>
        </w:rPr>
        <w:t xml:space="preserve">O presente Edital será publicado no site da DPE/MA e do DOE/MA.</w:t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23 de março de 2023.</w:t>
      </w:r>
    </w:p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4252"/>
          <w:tab w:val="right" w:leader="none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6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1ª SUBDEFENSORA PÚBLICA-GERAL DO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77.7952755905512" w:top="402.5196850393701" w:left="1275.5905511811022" w:right="128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