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EDITAL 007/202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</w:t>
      </w:r>
    </w:p>
    <w:p>
      <w:pPr>
        <w:pStyle w:val="Normal"/>
        <w:ind w:left="567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 PROCESSO SELETIVO UNIFICADO PARA ESTÁGIO DE GRADUAÇÃO DA DEFENSORIA PÚBLICA DO ESTADO DO MARANHÃO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DEFENSOR PÚBLICO GERAL DO ESTADO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I PROCESSO SELETIVO UNIFICADO PARA ESTÁGIO DE GRADUAÇÃO DA DEFENSORIA PÚBLICA DO ESTADO DO MARANHÃO, </w:t>
      </w:r>
      <w:r>
        <w:rPr>
          <w:rFonts w:eastAsia="Times New Roman" w:cs="Times New Roman" w:ascii="Times New Roman" w:hAnsi="Times New Roman"/>
          <w:sz w:val="24"/>
          <w:szCs w:val="24"/>
        </w:rPr>
        <w:t>resolve:</w:t>
      </w:r>
    </w:p>
    <w:p>
      <w:pPr>
        <w:pStyle w:val="Ttulo1"/>
        <w:widowControl w:val="false"/>
        <w:numPr>
          <w:ilvl w:val="0"/>
          <w:numId w:val="8"/>
        </w:numPr>
        <w:spacing w:lineRule="auto" w:line="240" w:before="280" w:after="280"/>
        <w:jc w:val="both"/>
        <w:rPr>
          <w:rFonts w:ascii="Times New Roman" w:hAnsi="Times New Roman" w:eastAsia="Times New Roman"/>
          <w:sz w:val="24"/>
          <w:szCs w:val="24"/>
        </w:rPr>
      </w:pPr>
      <w:bookmarkStart w:id="1" w:name="_heading=h.r6f7264ocbos"/>
      <w:bookmarkEnd w:id="1"/>
      <w:r>
        <w:rPr>
          <w:rFonts w:eastAsia="Times New Roman" w:ascii="Times New Roman" w:hAnsi="Times New Roman"/>
          <w:sz w:val="24"/>
          <w:szCs w:val="24"/>
        </w:rPr>
        <w:t xml:space="preserve">Art. 1º- DIVULGAR </w:t>
      </w:r>
      <w:r>
        <w:rPr>
          <w:rFonts w:eastAsia="Times New Roman" w:ascii="Times New Roman" w:hAnsi="Times New Roman"/>
          <w:b w:val="false"/>
          <w:sz w:val="24"/>
          <w:szCs w:val="24"/>
        </w:rPr>
        <w:t>o</w:t>
      </w:r>
      <w:r>
        <w:rPr>
          <w:rFonts w:eastAsia="Times New Roman" w:ascii="Times New Roman" w:hAnsi="Times New Roman"/>
          <w:sz w:val="24"/>
          <w:szCs w:val="24"/>
        </w:rPr>
        <w:t xml:space="preserve"> GABARITO DEFINITIVO </w:t>
      </w:r>
      <w:r>
        <w:rPr>
          <w:rFonts w:eastAsia="Times New Roman" w:ascii="Times New Roman" w:hAnsi="Times New Roman"/>
          <w:b w:val="false"/>
          <w:sz w:val="24"/>
          <w:szCs w:val="24"/>
        </w:rPr>
        <w:t>do</w:t>
      </w:r>
      <w:r>
        <w:rPr>
          <w:rFonts w:eastAsia="Times New Roman" w:ascii="Times New Roman" w:hAnsi="Times New Roman"/>
          <w:sz w:val="24"/>
          <w:szCs w:val="24"/>
        </w:rPr>
        <w:t xml:space="preserve"> I PROCESSO SELETIVO UNIFICADO PARA ESTÁGIO DE GRADUAÇÃO DA DEFENSORIA PÚBLICA DO ESTADO DO MARANHÃO, </w:t>
      </w:r>
      <w:r>
        <w:rPr>
          <w:rFonts w:eastAsia="Times New Roman" w:ascii="Times New Roman" w:hAnsi="Times New Roman"/>
          <w:b w:val="false"/>
          <w:sz w:val="24"/>
          <w:szCs w:val="24"/>
        </w:rPr>
        <w:t xml:space="preserve">conforme </w:t>
      </w:r>
      <w:r>
        <w:rPr>
          <w:rFonts w:eastAsia="Times New Roman" w:ascii="Times New Roman" w:hAnsi="Times New Roman"/>
          <w:sz w:val="24"/>
          <w:szCs w:val="24"/>
        </w:rPr>
        <w:t>ANEXO I</w:t>
      </w:r>
      <w:r>
        <w:rPr>
          <w:rFonts w:eastAsia="Times New Roman" w:ascii="Times New Roman" w:hAnsi="Times New Roman"/>
          <w:b w:val="false"/>
          <w:sz w:val="24"/>
          <w:szCs w:val="24"/>
        </w:rPr>
        <w:t xml:space="preserve"> do edital.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2º - DIVULGAR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os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RECURSOS DEFERIDOS/INDEFERIDOS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conforme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presente edital. </w:t>
      </w:r>
    </w:p>
    <w:p>
      <w:pPr>
        <w:pStyle w:val="Normal"/>
        <w:tabs>
          <w:tab w:val="clear" w:pos="720"/>
          <w:tab w:val="left" w:pos="567" w:leader="none"/>
        </w:tabs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3º - DIVULGAR </w:t>
      </w:r>
      <w:r>
        <w:rPr>
          <w:rFonts w:eastAsia="Times New Roman" w:cs="Times New Roman" w:ascii="Times New Roman" w:hAnsi="Times New Roman"/>
          <w:sz w:val="24"/>
          <w:szCs w:val="24"/>
        </w:rPr>
        <w:t>o espelho da prova dissertativa, conforme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ANEXO III </w:t>
      </w:r>
      <w:r>
        <w:rPr>
          <w:rFonts w:eastAsia="Times New Roman" w:cs="Times New Roman" w:ascii="Times New Roman" w:hAnsi="Times New Roman"/>
          <w:sz w:val="24"/>
          <w:szCs w:val="24"/>
        </w:rPr>
        <w:t>do presente edital.</w:t>
      </w:r>
    </w:p>
    <w:p>
      <w:pPr>
        <w:pStyle w:val="Normal"/>
        <w:tabs>
          <w:tab w:val="clear" w:pos="720"/>
          <w:tab w:val="left" w:pos="567" w:leader="none"/>
        </w:tabs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4º - DIVULGAR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RESULTADO PRELIMINAR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da prova dissertativa, conforme listas anexas. </w:t>
      </w:r>
    </w:p>
    <w:p>
      <w:pPr>
        <w:pStyle w:val="Normal"/>
        <w:tabs>
          <w:tab w:val="clear" w:pos="720"/>
          <w:tab w:val="left" w:pos="567" w:leader="none"/>
        </w:tabs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5º - INFORMAR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que os recursos em face do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RESULTADO DA PROVA DISSERTATIVA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deverão ser interpostos eletronicamente, nos dias 30/03/2022 e 31/03/2022, em formato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PDF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por meio do endereço eletrônico </w:t>
      </w:r>
      <w:r>
        <w:rPr>
          <w:rFonts w:eastAsia="Times New Roman" w:cs="Times New Roman" w:ascii="Times New Roman" w:hAnsi="Times New Roman"/>
          <w:color w:val="0563C1"/>
          <w:sz w:val="24"/>
          <w:szCs w:val="24"/>
        </w:rPr>
        <w:t xml:space="preserve">seletivos2022@ma.def.br, </w:t>
      </w:r>
      <w:r>
        <w:rPr>
          <w:rFonts w:eastAsia="Times New Roman" w:cs="Times New Roman" w:ascii="Times New Roman" w:hAnsi="Times New Roman"/>
          <w:sz w:val="24"/>
          <w:szCs w:val="24"/>
        </w:rPr>
        <w:t>conforme Edital de Abertura.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6º - </w:t>
      </w:r>
      <w:r>
        <w:rPr>
          <w:rFonts w:eastAsia="Times New Roman" w:cs="Times New Roman" w:ascii="Times New Roman" w:hAnsi="Times New Roman"/>
          <w:sz w:val="24"/>
          <w:szCs w:val="24"/>
        </w:rPr>
        <w:t>O presente Edital será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eastAsia="Times New Roman"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São Luís, 29 de março de 2022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ALBERTO PESSOA BASTOS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720" w:top="1440" w:footer="720" w:bottom="1440"/>
          <w:pgNumType w:start="1" w:fmt="decimal"/>
          <w:formProt w:val="false"/>
          <w:textDirection w:val="lrTb"/>
          <w:docGrid w:type="default" w:linePitch="100" w:charSpace="8192"/>
        </w:sect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eastAsia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eastAsia="Times New Roman" w:ascii="Times New Roman" w:hAnsi="Times New Roman"/>
          <w:b w:val="false"/>
          <w:i w:val="false"/>
          <w:sz w:val="24"/>
          <w:szCs w:val="24"/>
        </w:rPr>
        <w:t xml:space="preserve">Defensor Público-Geral do Estado do Maranhão 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eastAsia="Times New Roman"/>
          <w:i w:val="false"/>
          <w:i w:val="false"/>
          <w:sz w:val="24"/>
          <w:szCs w:val="24"/>
        </w:rPr>
      </w:pPr>
      <w:r>
        <w:rPr>
          <w:rFonts w:eastAsia="Times New Roman" w:ascii="Times New Roman" w:hAnsi="Times New Roman"/>
          <w:i w:val="false"/>
          <w:sz w:val="24"/>
          <w:szCs w:val="24"/>
        </w:rPr>
        <w:t>ANEXO I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eastAsia="Times New Roman"/>
          <w:i w:val="false"/>
          <w:i w:val="false"/>
          <w:sz w:val="24"/>
          <w:szCs w:val="24"/>
        </w:rPr>
      </w:pPr>
      <w:r>
        <w:rPr>
          <w:rFonts w:eastAsia="Times New Roman" w:ascii="Times New Roman" w:hAnsi="Times New Roman"/>
          <w:i w:val="false"/>
          <w:sz w:val="24"/>
          <w:szCs w:val="24"/>
        </w:rPr>
        <w:t>GABARITO DEFINITIVO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ADMINISTRAÇÃO</w:t>
      </w:r>
    </w:p>
    <w:tbl>
      <w:tblPr>
        <w:tblStyle w:val="a"/>
        <w:tblW w:w="4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97"/>
        <w:gridCol w:w="2308"/>
      </w:tblGrid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 A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 B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 C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 D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 C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 D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eastAsia="Times New Roman"/>
          <w:i w:val="false"/>
          <w:i w:val="false"/>
          <w:sz w:val="24"/>
          <w:szCs w:val="24"/>
        </w:rPr>
      </w:pPr>
      <w:bookmarkStart w:id="2" w:name="_heading=h.1fob9te"/>
      <w:bookmarkEnd w:id="2"/>
      <w:r>
        <w:rPr>
          <w:rFonts w:eastAsia="Times New Roman" w:ascii="Times New Roman" w:hAnsi="Times New Roman"/>
          <w:i w:val="false"/>
          <w:sz w:val="24"/>
          <w:szCs w:val="24"/>
        </w:rPr>
        <w:t xml:space="preserve">COMUNICAÇÃO </w:t>
      </w:r>
    </w:p>
    <w:tbl>
      <w:tblPr>
        <w:tblStyle w:val="a0"/>
        <w:tblW w:w="3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79"/>
        <w:gridCol w:w="1884"/>
      </w:tblGrid>
      <w:tr>
        <w:trPr>
          <w:trHeight w:val="273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 A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ind w:left="1021" w:firstLine="1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 A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 B</w:t>
            </w:r>
          </w:p>
        </w:tc>
      </w:tr>
      <w:tr>
        <w:trPr>
          <w:trHeight w:val="273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 D</w:t>
            </w:r>
          </w:p>
        </w:tc>
      </w:tr>
      <w:tr>
        <w:trPr>
          <w:trHeight w:val="278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 D</w:t>
            </w:r>
          </w:p>
        </w:tc>
      </w:tr>
      <w:tr>
        <w:trPr>
          <w:trHeight w:val="273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 C</w:t>
            </w:r>
          </w:p>
        </w:tc>
      </w:tr>
      <w:tr>
        <w:trPr>
          <w:trHeight w:val="278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 C</w:t>
            </w:r>
          </w:p>
        </w:tc>
      </w:tr>
      <w:tr>
        <w:trPr>
          <w:trHeight w:val="273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 B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 C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 D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 D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 A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28. B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 A</w:t>
            </w:r>
          </w:p>
        </w:tc>
      </w:tr>
      <w:tr>
        <w:trPr>
          <w:trHeight w:val="277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 D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DIREITO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1"/>
        <w:tblW w:w="4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97"/>
        <w:gridCol w:w="2308"/>
      </w:tblGrid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 C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 C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 ANULADA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 D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 B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 D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 C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 C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 D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ENGENHARIA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2"/>
        <w:tblW w:w="4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97"/>
        <w:gridCol w:w="2308"/>
      </w:tblGrid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18. C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19. C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 D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 C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 C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 E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24. E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-209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26.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-209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27.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-209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28.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-209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29.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-209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30.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INFORMÁTICA - DESENVOLVIMENTO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3"/>
        <w:tblW w:w="4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97"/>
        <w:gridCol w:w="2308"/>
      </w:tblGrid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 C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925" w:leader="none"/>
              </w:tabs>
              <w:spacing w:lineRule="auto" w:line="256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17.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  D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  D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 C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  C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  A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  C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 D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INFORMÁTICA - SUPORTE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4"/>
        <w:tblW w:w="4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97"/>
        <w:gridCol w:w="2308"/>
      </w:tblGrid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1. 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 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3. 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 B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4. 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 D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5. 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 B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6. 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 A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7. 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 C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8. 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9. 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 C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 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 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12. 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 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 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 A</w:t>
            </w:r>
          </w:p>
        </w:tc>
      </w:tr>
      <w:tr>
        <w:trPr>
          <w:trHeight w:val="70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 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 D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PSICOLOGIA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5"/>
        <w:tblW w:w="46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68"/>
        <w:gridCol w:w="2309"/>
      </w:tblGrid>
      <w:tr>
        <w:trPr>
          <w:trHeight w:val="273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 C</w:t>
            </w:r>
          </w:p>
        </w:tc>
      </w:tr>
      <w:tr>
        <w:trPr>
          <w:trHeight w:val="277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 C</w:t>
            </w:r>
          </w:p>
        </w:tc>
      </w:tr>
      <w:tr>
        <w:trPr>
          <w:trHeight w:val="277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ind w:left="596" w:hanging="28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ANULADA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 A</w:t>
            </w:r>
          </w:p>
        </w:tc>
      </w:tr>
      <w:tr>
        <w:trPr>
          <w:trHeight w:val="273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 B</w:t>
            </w:r>
          </w:p>
        </w:tc>
      </w:tr>
      <w:tr>
        <w:trPr>
          <w:trHeight w:val="278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 B</w:t>
            </w:r>
          </w:p>
        </w:tc>
      </w:tr>
      <w:tr>
        <w:trPr>
          <w:trHeight w:val="273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 B</w:t>
            </w:r>
          </w:p>
        </w:tc>
      </w:tr>
      <w:tr>
        <w:trPr>
          <w:trHeight w:val="278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ind w:left="596" w:hanging="3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ANULADA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 C</w:t>
            </w:r>
          </w:p>
        </w:tc>
      </w:tr>
      <w:tr>
        <w:trPr>
          <w:trHeight w:val="273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 ANULADA</w:t>
            </w:r>
          </w:p>
        </w:tc>
      </w:tr>
      <w:tr>
        <w:trPr>
          <w:trHeight w:val="277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ind w:left="596" w:hanging="42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ANULADA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 A</w:t>
            </w:r>
          </w:p>
        </w:tc>
      </w:tr>
      <w:tr>
        <w:trPr>
          <w:trHeight w:val="277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 D</w:t>
            </w:r>
          </w:p>
        </w:tc>
      </w:tr>
      <w:tr>
        <w:trPr>
          <w:trHeight w:val="277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 D</w:t>
            </w:r>
          </w:p>
        </w:tc>
      </w:tr>
      <w:tr>
        <w:trPr>
          <w:trHeight w:val="277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ind w:left="596" w:hanging="42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ANULADA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 A</w:t>
            </w:r>
          </w:p>
        </w:tc>
      </w:tr>
      <w:tr>
        <w:trPr>
          <w:trHeight w:val="277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ind w:left="454" w:hanging="3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ANULADA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28. B</w:t>
            </w:r>
          </w:p>
        </w:tc>
      </w:tr>
      <w:tr>
        <w:trPr>
          <w:trHeight w:val="277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 A</w:t>
            </w:r>
          </w:p>
        </w:tc>
      </w:tr>
      <w:tr>
        <w:trPr>
          <w:trHeight w:val="70" w:hRule="atLeast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 D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SERVIÇO SOCIAL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6"/>
        <w:tblW w:w="4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97"/>
        <w:gridCol w:w="2308"/>
      </w:tblGrid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 C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925" w:leader="none"/>
              </w:tabs>
              <w:spacing w:lineRule="auto" w:line="256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17.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 C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 D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 A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 B</w:t>
            </w:r>
          </w:p>
        </w:tc>
      </w:tr>
      <w:tr>
        <w:trPr>
          <w:trHeight w:val="278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 D</w:t>
            </w:r>
          </w:p>
        </w:tc>
      </w:tr>
      <w:tr>
        <w:trPr>
          <w:trHeight w:val="273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2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 D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28. B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 A</w:t>
            </w:r>
          </w:p>
        </w:tc>
      </w:tr>
      <w:tr>
        <w:trPr>
          <w:trHeight w:val="277" w:hRule="atLeast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5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0" w:after="0"/>
              <w:ind w:left="497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 D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RECURSOS DEFERIDOS/INDEFERIDOS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DIREITO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QUESTÃO 19 - DEFERIDO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QUESTÃO 27 - INDEFERIDO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PSICOLOGIA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QUESTÃO 07: DEFERIDO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QUESTÃO 09: DEFERIDO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QUESTÃO 12: DEFERIDO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QUESTÃO 24: DEFERIDO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ESPELHOS DAS QUESTÕES DISSERTATIVAS 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ADMINISTRAÇÃO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7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918"/>
      </w:tblGrid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ESPELHO DE PROVA</w:t>
            </w:r>
          </w:p>
        </w:tc>
      </w:tr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Planejamento é a metodologia administrativa que permite: diagnosticar e analisar situações atuais; estabelecer resultados, objetivos e metas a serem alcançados pelas organizações; delinear ações e estratégias, para alcançar esses resultados; bem como estabelecer leis e normas políticas, que servem de sustentação a esse procedimento administrativo. Organização é a metodologia administrativa que orienta a capacidade de ordenação, estruturação e apresentação de um sistema, de um projeto, de um trabalho e dos recursos abordados, visando alcançar os resultados estabelecidos no planejamento. Direção é a capacidade e a habilidade administrativa de supervisionar e orientar os recursos humanos, financeiros, tecnológicos, materiais e equipamentos alocados nas atividades das organizações, visando aperfeiçoar o processo decisório direcionado ao alcance dos resultados estabelecidos no planejamento. Controle é a metodologia administrativa que, mediante comparação com padrões previamente estabelecidos, procura medir e avaliar o desempenho e o resultado das ações, com a finalidade de realimentar com informações os tomadores de decisões, de forma que possam corrigir ou reforçar esse desempenho, para assegurar que os resultados estabelecidos pelo planejamento sejam alcançados.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COMUNICAÇÃO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8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918"/>
      </w:tblGrid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ESPELHO DE PROVA</w:t>
            </w:r>
          </w:p>
        </w:tc>
      </w:tr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Definição: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Precisa contemplar que o Plano de Comunicação é o documento que reúne informações descritivas de metas, objetivos, ações e estratégias sobre algo que se deseja realizar.</w:t>
            </w:r>
          </w:p>
        </w:tc>
      </w:tr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Principais elementos e etapas na ordem cronológica: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Relato da organização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Levantamento de dados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Identificação do público de interesse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Análise de contexto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Objetivos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Metas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Estratégias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Ações previstas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Cronograma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Custos</w:t>
            </w:r>
          </w:p>
        </w:tc>
      </w:tr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Técnica bastante utilizada: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highlight w:val="white"/>
              </w:rPr>
              <w:t>SWOT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white"/>
              </w:rPr>
              <w:t> (FOFA) – é um método de planejamento estratégico que engloba a análise de cenários para tomada de decisões, observando 4 fatores. São eles, em inglês: strengths, weaknesses, opportunities e threats. Em português: forças, oportunidades, fraquezas e ameaças.</w:t>
            </w:r>
          </w:p>
        </w:tc>
      </w:tr>
      <w:tr>
        <w:trPr/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Forma: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Técnica da dissertação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Coesão, ortografia e vernáculo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Coerência e concatenação de ideias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DIREITO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9"/>
        <w:tblW w:w="90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ESPELHO DE PROVA</w:t>
            </w:r>
          </w:p>
        </w:tc>
      </w:tr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Uso correto do vernáculo, concatenação de ideias, coesão e coerência na escrita</w:t>
            </w:r>
          </w:p>
        </w:tc>
      </w:tr>
      <w:tr>
        <w:trPr>
          <w:trHeight w:val="574" w:hRule="atLeast"/>
        </w:trPr>
        <w:tc>
          <w:tcPr>
            <w:tcW w:w="9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Princípio da reserva legal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Definição</w:t>
            </w:r>
          </w:p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Previsão constitucional (art. 5º)</w:t>
            </w:r>
          </w:p>
        </w:tc>
      </w:tr>
      <w:tr>
        <w:trPr>
          <w:trHeight w:val="414" w:hRule="atLeast"/>
        </w:trPr>
        <w:tc>
          <w:tcPr>
            <w:tcW w:w="9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9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4" w:hRule="atLeast"/>
        </w:trPr>
        <w:tc>
          <w:tcPr>
            <w:tcW w:w="9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Princípio da (ir)retroatividade da lei penal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Definição</w:t>
            </w:r>
          </w:p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Previsão constitucional (art. 5º) e legal (art. 2º, CP) </w:t>
            </w:r>
          </w:p>
        </w:tc>
      </w:tr>
      <w:tr>
        <w:trPr>
          <w:trHeight w:val="414" w:hRule="atLeast"/>
        </w:trPr>
        <w:tc>
          <w:tcPr>
            <w:tcW w:w="9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9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Lei aplicada a João: Lei nº 20/2022, por ser mais benéfica ao indivíduo, atendendo aos princípios anteriores. </w:t>
            </w:r>
          </w:p>
        </w:tc>
      </w:tr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O espelho apresentado é apenas uma sugestão. Sugere-se que, caso o candidato não apresente as previsões constitucionais e legais, mas discorra de modo satisfatório sobre o caso, trazendo conceitos como conflito de lei penal no tempo,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novatio legis in melius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novatio legis in pejus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etc. seja atribuída a pontuação correspondente ao item faltante. </w:t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w="11906" w:h="16838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ENGENHARIA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a"/>
        <w:tblW w:w="90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ESPELHO DE PROVA</w:t>
            </w:r>
          </w:p>
        </w:tc>
      </w:tr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 correto é que o profissional de engenharia primeiramente vá ao local e faça uma avaliação da estrutura, verificando se a corrosão em está em um estágio inicial ou se já está em um estágio avançado. Se a corrosão for inicial, deve-se indicar que o concreto carbonatado seja removido por meio de escarificação, assim como qualquer parte solta presente no elemento estrutural. Após esse procedimento, as barras de aço, para a retirada dos óxidos de ferro depositados e, em seguida, deve-se passar um primer anticorrosão na armadura, de forma a evitar que a manifestação patológica retorne. Com esses procedimentos realizados, deve-se realiza a reconcretagem da peça com graute. Caso a corrosão estiver em um estágio avançado e a estrutura estiver em risco de colapso, o edifício deve ser interditado de maneira a evitar a perda de vidas no caso de queda. Nessa situação deve-se realizar o cálculo da seção de aço perdida pelo processo de corrosão e, se houver necessidade, deve-se adicionar uma nova armadura à estrutura, a partir do encamisamento e reconcretagem. Vale destacar que o concreto carbonatado também deve ser retirado por escarificação e as armaduras devem ser limpas e revestidas com o primer anticorrosão antes do encamisamento.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w="11906" w:h="16838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INFORMÁTICA – SUPORTE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b"/>
        <w:tblW w:w="9026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6"/>
      </w:tblGrid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ESPELHO DE PROVA</w:t>
            </w:r>
          </w:p>
        </w:tc>
      </w:tr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Descrição de pelo menos três dos seguintes componentes que compõem um desktop e explicação da função de cada um: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Componentes que integram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Disco rígido (HD/SSD)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Placa mãe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Processador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Memória ram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Placa de vídeo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Bateria CMOS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360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Fonte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INFORMÁTICA – DESENVOLVIMENTO</w:t>
      </w:r>
    </w:p>
    <w:tbl>
      <w:tblPr>
        <w:tblStyle w:val="ac"/>
        <w:tblW w:w="9026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6"/>
      </w:tblGrid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ESPELHO DE PROVA</w:t>
            </w:r>
          </w:p>
        </w:tc>
      </w:tr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O padrão de arquitetura de software MVC consiste na separação de deveres do sistema, organizado em três tipos de camadas, sendo elas: Model (Modelo), View (Visão) e Controller (Controlador).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Essa divisão tem por objetivo melhorar a organização do código, separando cada componente em seu local devido e possibilita uma melhor manutenção do projeto.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 camada Model, tem como função representar o modelo da entidade no banco de dados. Serve como uma ponte para as informações guardadas no banco de dados, disponibilizando (geralmente) uma classe contendo todas as implementações necessárias para o acesso, manipulação específica e inclusão de dados.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 View por sua vez compõe toda a interface do sistema. Tem como função ser o intermediador entre o usuário e o sistema, sendo um conjunto de todas as interações e requisições possíveis de um usuário.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 Controller, tem como função servir como uma ponte entre as camadas de View e Model. Aqui ocorre a maior parte das manipulações e processamentos de dados. O controller que é responsável por saber quando chamar a View e o Model, dando resposta ao usuário por meio de interface e recuperando dados do banco de dados.</w:t>
            </w:r>
          </w:p>
        </w:tc>
      </w:tr>
    </w:tbl>
    <w:p>
      <w:pPr>
        <w:sectPr>
          <w:headerReference w:type="default" r:id="rId14"/>
          <w:footerReference w:type="default" r:id="rId15"/>
          <w:type w:val="nextPage"/>
          <w:pgSz w:w="11906" w:h="16838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PSICOLOGIA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d"/>
        <w:tblW w:w="9026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6"/>
      </w:tblGrid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ESPELHO DE PROVA</w:t>
            </w:r>
          </w:p>
        </w:tc>
      </w:tr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Elemento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Conhecimento sobre o processo de mediação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Qual a compreensão/importância  desse trabalho no âmbito da defensoria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Base estrutural da prova dissertativa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Autenticidade do texto</w:t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SERVIÇO SOCIAL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e"/>
        <w:tblW w:w="9026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6"/>
      </w:tblGrid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ESPELHO DE PROVA</w:t>
            </w:r>
          </w:p>
        </w:tc>
      </w:tr>
      <w:tr>
        <w:trPr/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Citação do tripé da seguridade social, saúde, assistência social e previdência social; diretrizes da seguridade social e relação com a prática profissional do assistente social.     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CONSTITUIÇÃO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Art. 194. A seguridade social compreende um conjunto integrado de ações de iniciativa dos Poderes Públicos e da sociedade, destinadas a assegurar os direitos relativos à saúde, à previdência e à assistência social.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Parágrafo único. Compete ao Poder Público, nos termos da lei, organizar a seguridade social, com base nos seguintes objetivos: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 - universalidade da cobertura e do atendimento;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II - uniformidade e equivalência dos benefícios e serviços às populações urbanas e rurais;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III - seletividade e distributividade na prestação dos benefícios e serviços;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 - irredutibilidade do valor dos benefícios;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 - eqüidade na forma de participação no custeio;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trike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trike/>
                <w:sz w:val="24"/>
                <w:szCs w:val="24"/>
              </w:rPr>
              <w:t>VI - diversidade da base de financiamento;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VI - diversidade da base de financiamento, identificando-se, em rubricas contábeis específicas para cada área, as receitas e as despesas vinculadas a ações de saúde, previdência e assistência social, preservado o caráter contributivo da previdência social;</w:t>
            </w:r>
            <w:r>
              <w:fldChar w:fldCharType="begin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instrText> HYPERLINK "http://www.planalto.gov.br/ccivil_03/constituicao/Emendas/Emc/emc103.htm" \l "art1"</w:instrTex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  <w:r>
              <w:fldChar w:fldCharType="begin"/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color w:val="0000FF"/>
              </w:rPr>
              <w:instrText> HYPERLINK "http://www.planalto.gov.br/ccivil_03/constituicao/Emendas/Emc/emc103.htm" \l "art1"</w:instrText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color w:val="0000FF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  <w:u w:val="single"/>
              </w:rPr>
              <w:t>(Redação dada pela Emenda Constitucional nº 103, de 2019)</w:t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color w:val="0000FF"/>
              </w:rPr>
              <w:fldChar w:fldCharType="end"/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trike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trike/>
                <w:sz w:val="24"/>
                <w:szCs w:val="24"/>
              </w:rPr>
              <w:t>VII - caráter democrático e descentralizado da gestão administrativa, com a participação da comunidade, em especial de trabalhadores, empresários e aposentados.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VII - caráter democrático e descentralizado da administração, mediante gestão quadripartite, com participação dos trabalhadores, dos empregadores, dos aposentados e do Governo nos órgãos colegiados.</w:t>
            </w:r>
            <w:r>
              <w:fldChar w:fldCharType="begin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instrText> HYPERLINK "http://www.planalto.gov.br/ccivil_03/constituicao/Emendas/Emc/emc20.htm" \l "art1"</w:instrTex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  <w:r>
              <w:fldChar w:fldCharType="begin"/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color w:val="0000FF"/>
              </w:rPr>
              <w:instrText> HYPERLINK "http://www.planalto.gov.br/ccivil_03/constituicao/Emendas/Emc/emc20.htm" \l "art1"</w:instrText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color w:val="0000FF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  <w:u w:val="single"/>
              </w:rPr>
              <w:t>(Redação dada pela Emenda Constitucional nº 20, de 1998)</w:t>
            </w:r>
            <w:r>
              <w:rPr>
                <w:sz w:val="24"/>
                <w:u w:val="single"/>
                <w:szCs w:val="24"/>
                <w:rFonts w:eastAsia="Times New Roman" w:cs="Times New Roman" w:ascii="Times New Roman" w:hAnsi="Times New Roman"/>
                <w:color w:val="0000FF"/>
              </w:rPr>
              <w:fldChar w:fldCharType="end"/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Lei Orgânica da Seguridade Social ( Lei N° 8.212/1991)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Art. 1º A Seguridade Social compreende um conjunto integrado de ações de iniciativa dos poderes públicos e da sociedade, destinado a assegurar o direito relativo à saúde, à previdência e à assistência social.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Parágrafo único. A seguridade Social obedecerá aos seguintes princípios e diretrizes: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a) universalidade da cobertura e do atendimento;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b) uniformidade e equivalência dos benefícios e serviços às populações urbanas e rurais;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c) seletividade e distributividade na prestação dos benefícios e serviços;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d) irredutibilidade do valor dos benefícios;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e) eqüidade na forma de participação no custeio;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f) diversidade da base de financiamento;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g) caráter democrático e descentralizado da gestão administrativa com a participação da comunidade, em especial de trabalhadores, empresários e aposentados.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Impactam diretamente no fazer profissional do Assistente Social , independente do campo de atuação. Uma vez que o profissional atua na execução, gestão, articulação, controle e/ou monitoramento de políticas públicas que estão vinculadas às diretrizes (objetivos e princípios), e dependem destes para sua efetivação junto aos cidadãos que dela necessitam.</w:t>
            </w:r>
          </w:p>
        </w:tc>
      </w:tr>
    </w:tbl>
    <w:p>
      <w:pPr>
        <w:pStyle w:val="Normal"/>
        <w:spacing w:lineRule="auto" w:line="360" w:before="0" w:after="1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18"/>
      <w:footerReference w:type="default" r:id="rId19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13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14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16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color w:val="008000"/>
      </w:rPr>
      <w:t xml:space="preserve">        </w:t>
    </w:r>
    <w:r>
      <w:rPr>
        <w:rFonts w:eastAsia="Times New Roman" w:cs="Times New Roman" w:ascii="Times New Roman" w:hAnsi="Times New Roman"/>
        <w:color w:val="008000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7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7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7" w:hanging="18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2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7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2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7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2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7" w:hanging="180"/>
      </w:pPr>
    </w:lvl>
  </w:abstractNum>
  <w:abstractNum w:abstractNumId="8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pPr>
      <w:widowControl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pPr>
      <w:widowControl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Pr/>
  </w:style>
  <w:style w:type="character" w:styleId="LinkdaInternet" w:customStyle="1">
    <w:name w:val="Link da Internet"/>
    <w:basedOn w:val="DefaultParagraphFont"/>
    <w:uiPriority w:val="99"/>
    <w:unhideWhenUsed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Pr>
      <w:rFonts w:asciiTheme="minorHAnsi" w:hAnsiTheme="minorHAnsi" w:eastAsiaTheme="minorHAnsi" w:cstheme="minorBidi"/>
      <w:lang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i+mcfGKVfRU2Ga1MNMQQPgtUbA==">AMUW2mW4/eb/9WLc/etBd49s5LZJC68WUFgvDhM2cNuyD8aqJCfPDv4hkcJgzJfejDkmQAXvubPibVoyuYNpFQVlOO5wh82RZzYgBAeb0h5hakpILo+aQIQmXJD/mCS4PiMi1x1wBoY1DrQ3i0WHnyfe9JfA8aEE5Q==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19</Pages>
  <Words>2071</Words>
  <Characters>10060</Characters>
  <CharactersWithSpaces>11754</CharactersWithSpaces>
  <Paragraphs>392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2022-03-29T18:10:00Z</dcterms:created>
  <dc:creator>Lorena Fernandes</dc:creator>
  <dc:description/>
  <dc:language>pt-BR</dc:language>
  <cp:lastModifiedBy>Jéssica Côrtes Fonseca de Andrade</cp:lastModifiedBy>
  <dcterms:modified xsi:type="dcterms:W3CDTF">2022-03-29T18:10:00Z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