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21/2022</w:t>
      </w:r>
    </w:p>
    <w:p w:rsidR="00000000" w:rsidDel="00000000" w:rsidP="00000000" w:rsidRDefault="00000000" w:rsidRPr="00000000" w14:paraId="00000008">
      <w:pPr>
        <w:spacing w:after="24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UNIFICADO PARA ESTÁGIO DE GRADUAÇÃO DA DEFENSORIA PÚBLICA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prorrogar por 6 (seis) meses o prazo de validade do </w:t>
      </w:r>
      <w:r w:rsidDel="00000000" w:rsidR="00000000" w:rsidRPr="00000000">
        <w:rPr>
          <w:b w:val="1"/>
          <w:rtl w:val="0"/>
        </w:rPr>
        <w:t xml:space="preserve">I PROCESSO SELETIVO UNIFICADO PARA ESTÁGIO DE GRADUAÇÃO DA DEFENSORIA PÚBLICA DO ESTADO DO MARANHÃO </w:t>
      </w:r>
      <w:r w:rsidDel="00000000" w:rsidR="00000000" w:rsidRPr="00000000">
        <w:rPr>
          <w:rtl w:val="0"/>
        </w:rPr>
        <w:t xml:space="preserve">, homologado em 20/04/2022.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 e do DOE/MA.</w:t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25 de Agosto de 2022.</w:t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