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29" w:after="0"/>
        <w:ind w:left="309" w:right="599" w:hanging="0"/>
        <w:jc w:val="center"/>
        <w:rPr/>
      </w:pPr>
      <w:r>
        <w:rPr/>
        <w:t>EDITAL Nº 002/2022</w:t>
      </w:r>
    </w:p>
    <w:p>
      <w:pPr>
        <w:pStyle w:val="Corpodotexto"/>
        <w:spacing w:before="3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I PROCESSO SELETIVO UNIFICADO PARA ESTÁGIO DE PÓS-GRADUAÇÃO DA DEFENSORIA PÚBLICA DO ESTADO DO MARANHÃO</w:t>
      </w:r>
    </w:p>
    <w:p>
      <w:pPr>
        <w:pStyle w:val="Corpodotexto"/>
        <w:spacing w:before="6" w:after="0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before="240" w:after="240"/>
        <w:jc w:val="both"/>
        <w:rPr>
          <w:rFonts w:eastAsia="Trebuchet MS"/>
          <w:b/>
          <w:b/>
          <w:sz w:val="24"/>
          <w:szCs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SUBDEFENSOR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PÚBLICO-GERAL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8"/>
          <w:sz w:val="24"/>
        </w:rPr>
        <w:t xml:space="preserve"> </w:t>
      </w:r>
      <w:r>
        <w:rPr>
          <w:sz w:val="24"/>
        </w:rPr>
        <w:t>atribuições legais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tendo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vista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rFonts w:eastAsia="Trebuchet MS"/>
          <w:b/>
          <w:sz w:val="24"/>
          <w:szCs w:val="24"/>
        </w:rPr>
        <w:t>I PROCESSO SELETIVO UNIFICADO PARA ESTÁGIO DE PÓS-GRADUAÇÃO DA DEFENSORIA PÚBLICA DO ESTADO DO MARANHÃO</w:t>
      </w:r>
      <w:r>
        <w:rPr>
          <w:sz w:val="24"/>
        </w:rPr>
        <w:t>, resolve:</w:t>
      </w:r>
    </w:p>
    <w:p>
      <w:pPr>
        <w:pStyle w:val="Corpodotexto"/>
        <w:spacing w:before="2" w:after="0"/>
        <w:rPr>
          <w:sz w:val="38"/>
        </w:rPr>
      </w:pPr>
      <w:r>
        <w:rPr>
          <w:sz w:val="38"/>
        </w:rPr>
      </w:r>
    </w:p>
    <w:p>
      <w:pPr>
        <w:pStyle w:val="Normal"/>
        <w:ind w:left="179" w:hanging="0"/>
        <w:rPr>
          <w:sz w:val="24"/>
        </w:rPr>
      </w:pPr>
      <w:r>
        <w:rPr>
          <w:b/>
          <w:sz w:val="24"/>
        </w:rPr>
        <w:t xml:space="preserve">Art. 1. RETIFICAR </w:t>
      </w:r>
      <w:r>
        <w:rPr>
          <w:sz w:val="24"/>
        </w:rPr>
        <w:t xml:space="preserve">o </w:t>
      </w:r>
      <w:r>
        <w:rPr>
          <w:b/>
          <w:sz w:val="24"/>
        </w:rPr>
        <w:t xml:space="preserve">EDITAL DE ABERTURA nº 001/2022 </w:t>
      </w:r>
      <w:r>
        <w:rPr>
          <w:sz w:val="24"/>
        </w:rPr>
        <w:t>nos seguintes termos:</w:t>
      </w:r>
    </w:p>
    <w:p>
      <w:pPr>
        <w:pStyle w:val="Corpodotexto"/>
        <w:spacing w:before="9" w:after="0"/>
        <w:rPr>
          <w:sz w:val="37"/>
        </w:rPr>
      </w:pPr>
      <w:r>
        <w:rPr>
          <w:sz w:val="37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96" w:leader="none"/>
        </w:tabs>
        <w:ind w:left="179" w:right="483" w:hanging="0"/>
        <w:jc w:val="both"/>
        <w:rPr/>
      </w:pPr>
      <w:r>
        <w:rPr/>
        <w:t xml:space="preserve">Excluir os itens 3.10, 3.10.1, 3.11 e 3.11.1, não sendo necessário efetivar o pagamento de qualquer taxa de inscrição para participar do presente seletivo. </w:t>
      </w:r>
    </w:p>
    <w:p>
      <w:pPr>
        <w:pStyle w:val="Ttulo1"/>
        <w:tabs>
          <w:tab w:val="clear" w:pos="720"/>
          <w:tab w:val="left" w:pos="396" w:leader="none"/>
        </w:tabs>
        <w:ind w:left="179" w:right="483" w:hanging="0"/>
        <w:jc w:val="both"/>
        <w:rPr/>
      </w:pPr>
      <w:r>
        <w:rPr/>
      </w:r>
    </w:p>
    <w:p>
      <w:pPr>
        <w:pStyle w:val="Ttulo1"/>
        <w:tabs>
          <w:tab w:val="clear" w:pos="720"/>
          <w:tab w:val="left" w:pos="396" w:leader="none"/>
        </w:tabs>
        <w:ind w:left="179" w:right="483" w:hanging="0"/>
        <w:jc w:val="both"/>
        <w:rPr/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96" w:leader="none"/>
        </w:tabs>
        <w:ind w:left="179" w:right="483" w:hanging="0"/>
        <w:jc w:val="both"/>
        <w:rPr/>
      </w:pPr>
      <w:r>
        <w:rPr/>
        <w:t>Os itens abaixo passam a ter a redação indicada e não como constou no Edital de Abertura:</w:t>
      </w:r>
    </w:p>
    <w:p>
      <w:pPr>
        <w:pStyle w:val="Corpodotexto"/>
        <w:spacing w:before="7" w:after="0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ind w:left="179" w:hanging="0"/>
        <w:rPr>
          <w:b/>
          <w:b/>
          <w:sz w:val="24"/>
        </w:rPr>
      </w:pPr>
      <w:r>
        <w:rPr>
          <w:b/>
          <w:sz w:val="24"/>
        </w:rPr>
        <w:t>ONDE SE LÊ:</w:t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  <w:t xml:space="preserve">9.1 O estágio forense remunerado da </w:t>
      </w:r>
      <w:r>
        <w:rPr>
          <w:rFonts w:eastAsia="Trebuchet MS"/>
          <w:b/>
          <w:sz w:val="24"/>
          <w:szCs w:val="24"/>
        </w:rPr>
        <w:t>DEFENSORIA PÚBLICA</w:t>
      </w:r>
      <w:r>
        <w:rPr>
          <w:rFonts w:eastAsia="Trebuchet MS"/>
          <w:sz w:val="24"/>
          <w:szCs w:val="24"/>
        </w:rPr>
        <w:t xml:space="preserve"> exige cumprimento de carga horária específica, de segunda a sexta-feira, no horário do funcionamento desta Instituição, conforme distribuição procedida pela Supervisão de Estágio e necessidades institucionais, conforme tabela a seguir:</w:t>
      </w:r>
    </w:p>
    <w:p>
      <w:pPr>
        <w:pStyle w:val="Corpodotexto"/>
        <w:spacing w:before="2" w:after="0"/>
        <w:rPr>
          <w:sz w:val="31"/>
        </w:rPr>
      </w:pPr>
      <w:r>
        <w:rPr>
          <w:sz w:val="31"/>
        </w:rPr>
      </w:r>
    </w:p>
    <w:tbl>
      <w:tblPr>
        <w:tblW w:w="9189" w:type="dxa"/>
        <w:jc w:val="left"/>
        <w:tblInd w:w="0" w:type="dxa"/>
        <w:tblLayout w:type="fixed"/>
        <w:tblCellMar>
          <w:top w:w="100" w:type="dxa"/>
          <w:left w:w="10" w:type="dxa"/>
          <w:bottom w:w="100" w:type="dxa"/>
          <w:right w:w="10" w:type="dxa"/>
        </w:tblCellMar>
        <w:tblLook w:firstRow="0" w:noVBand="1" w:lastRow="0" w:firstColumn="0" w:lastColumn="0" w:noHBand="1" w:val="0600"/>
      </w:tblPr>
      <w:tblGrid>
        <w:gridCol w:w="2504"/>
        <w:gridCol w:w="3716"/>
        <w:gridCol w:w="2969"/>
      </w:tblGrid>
      <w:tr>
        <w:trPr>
          <w:trHeight w:val="1625" w:hRule="atLeast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4C6E7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ÁREA</w:t>
            </w:r>
          </w:p>
        </w:tc>
        <w:tc>
          <w:tcPr>
            <w:tcW w:w="3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4C6E7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BOLSA</w:t>
            </w:r>
          </w:p>
        </w:tc>
        <w:tc>
          <w:tcPr>
            <w:tcW w:w="2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4C6E7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CARGA HORÁRIA </w:t>
            </w:r>
          </w:p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ADMINISTRAÇÃO 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R$ 1.572,00 (mil quinhentos e setenta e dois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30h semanais;</w:t>
            </w:r>
          </w:p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 w:before="240" w:after="240"/>
              <w:ind w:left="100" w:right="100" w:hanging="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DIREITO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R$ 1.572,00 (mil quinhentos e setenta e dois reais) 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30h semanais;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SERVIÇO SOCIAL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R$ 1.572,00 (mil quinhentos e setenta e dois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30h semanais</w:t>
            </w:r>
          </w:p>
        </w:tc>
      </w:tr>
    </w:tbl>
    <w:p>
      <w:pPr>
        <w:pStyle w:val="Corpodotexto"/>
        <w:spacing w:before="6" w:after="0"/>
        <w:rPr>
          <w:sz w:val="34"/>
        </w:rPr>
      </w:pPr>
      <w:r>
        <w:rPr>
          <w:sz w:val="34"/>
        </w:rPr>
      </w:r>
    </w:p>
    <w:p>
      <w:pPr>
        <w:pStyle w:val="Corpodotexto"/>
        <w:spacing w:before="1" w:after="0"/>
        <w:rPr>
          <w:sz w:val="31"/>
        </w:rPr>
      </w:pPr>
      <w:r>
        <w:rPr>
          <w:sz w:val="31"/>
        </w:rPr>
      </w:r>
    </w:p>
    <w:p>
      <w:pPr>
        <w:pStyle w:val="Ttulo1"/>
        <w:jc w:val="both"/>
        <w:rPr/>
      </w:pPr>
      <w:r>
        <w:rPr/>
        <w:t>LEIA-SE COMO SEGUE</w:t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  <w:t xml:space="preserve">9.1 O estágio forense remunerado da </w:t>
      </w:r>
      <w:r>
        <w:rPr>
          <w:rFonts w:eastAsia="Trebuchet MS"/>
          <w:b/>
          <w:sz w:val="24"/>
          <w:szCs w:val="24"/>
        </w:rPr>
        <w:t>DEFENSORIA PÚBLICA</w:t>
      </w:r>
      <w:r>
        <w:rPr>
          <w:rFonts w:eastAsia="Trebuchet MS"/>
          <w:sz w:val="24"/>
          <w:szCs w:val="24"/>
        </w:rPr>
        <w:t xml:space="preserve"> exige cumprimento de carga horária específica, de segunda a sexta-feira, no horário do funcionamento desta Instituição, conforme distribuição procedida pela Supervisão de Estágio e necessidades institucionais, conforme tabela a seguir:</w:t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</w:r>
    </w:p>
    <w:tbl>
      <w:tblPr>
        <w:tblW w:w="9189" w:type="dxa"/>
        <w:jc w:val="left"/>
        <w:tblInd w:w="0" w:type="dxa"/>
        <w:tblLayout w:type="fixed"/>
        <w:tblCellMar>
          <w:top w:w="100" w:type="dxa"/>
          <w:left w:w="10" w:type="dxa"/>
          <w:bottom w:w="100" w:type="dxa"/>
          <w:right w:w="10" w:type="dxa"/>
        </w:tblCellMar>
        <w:tblLook w:firstRow="0" w:noVBand="1" w:lastRow="0" w:firstColumn="0" w:lastColumn="0" w:noHBand="1" w:val="0600"/>
      </w:tblPr>
      <w:tblGrid>
        <w:gridCol w:w="2504"/>
        <w:gridCol w:w="3716"/>
        <w:gridCol w:w="2969"/>
      </w:tblGrid>
      <w:tr>
        <w:trPr>
          <w:trHeight w:val="1625" w:hRule="atLeast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4C6E7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ÁREA</w:t>
            </w:r>
          </w:p>
        </w:tc>
        <w:tc>
          <w:tcPr>
            <w:tcW w:w="3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4C6E7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BOLSA</w:t>
            </w:r>
          </w:p>
        </w:tc>
        <w:tc>
          <w:tcPr>
            <w:tcW w:w="2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4C6E7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CARGA HORÁRIA </w:t>
            </w:r>
          </w:p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ADMINISTRAÇÃO 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R$ 1.572,00 (mil quinhentos e setenta e dois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30h semanais;</w:t>
            </w:r>
          </w:p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 w:before="240" w:after="240"/>
              <w:ind w:left="100" w:right="100" w:hanging="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DIREITO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R$ 1.572,00 (mil quinhentos e setenta e dois reais) 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color w:val="FF0000"/>
                <w:sz w:val="24"/>
                <w:szCs w:val="24"/>
              </w:rPr>
              <w:t>20h semanais;</w:t>
            </w:r>
          </w:p>
        </w:tc>
      </w:tr>
      <w:tr>
        <w:trPr>
          <w:trHeight w:val="1260" w:hRule="atLeast"/>
        </w:trPr>
        <w:tc>
          <w:tcPr>
            <w:tcW w:w="2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24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SERVIÇO SOCIAL</w:t>
            </w:r>
          </w:p>
        </w:tc>
        <w:tc>
          <w:tcPr>
            <w:tcW w:w="371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520" w:right="240" w:hanging="14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R$ 1.572,00 (mil quinhentos e setenta e dois reais)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30h semanais</w:t>
            </w:r>
          </w:p>
        </w:tc>
      </w:tr>
    </w:tbl>
    <w:p>
      <w:pPr>
        <w:pStyle w:val="Corpodotex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otexto"/>
        <w:rPr/>
      </w:pPr>
      <w:r>
        <w:rPr/>
      </w:r>
    </w:p>
    <w:p>
      <w:pPr>
        <w:pStyle w:val="Corpodotexto"/>
        <w:numPr>
          <w:ilvl w:val="0"/>
          <w:numId w:val="1"/>
        </w:numPr>
        <w:jc w:val="both"/>
        <w:rPr/>
      </w:pPr>
      <w:r>
        <w:rPr>
          <w:b/>
        </w:rPr>
        <w:t>RETIFICAR</w:t>
      </w:r>
      <w:r>
        <w:rPr/>
        <w:t xml:space="preserve"> o </w:t>
      </w:r>
      <w:r>
        <w:rPr>
          <w:b/>
        </w:rPr>
        <w:t>ANEXO II</w:t>
      </w:r>
      <w:r>
        <w:rPr/>
        <w:t xml:space="preserve">, referente a tabela de vagas para fazer constar os Núcleos de </w:t>
      </w:r>
      <w:r>
        <w:rPr>
          <w:b/>
        </w:rPr>
        <w:t>ESTREITO, MATINHA, PORTO FRANCO, TURIAÇU, TUTÓIA, ANAJATUBA, COROATÁ, BARREIRINHAS, EUGÊNIO BARROS E AMARANTE.</w:t>
      </w:r>
    </w:p>
    <w:p>
      <w:pPr>
        <w:pStyle w:val="Normal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ListParagraph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ListParagraph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QUADRO DE VAGAS</w:t>
      </w:r>
    </w:p>
    <w:p>
      <w:pPr>
        <w:pStyle w:val="ListParagraph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ListParagraph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ESTÁGIO DE PÓS-GRADUAÇÃO – DIREITO</w:t>
      </w:r>
    </w:p>
    <w:p>
      <w:pPr>
        <w:pStyle w:val="ListParagraph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ListParagraph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916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836"/>
        <w:gridCol w:w="3328"/>
      </w:tblGrid>
      <w:tr>
        <w:trPr>
          <w:trHeight w:val="752" w:hRule="atLeast"/>
        </w:trPr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shd w:fill="93C47D" w:val="clear"/>
              </w:rPr>
            </w:pPr>
            <w:r>
              <w:rPr>
                <w:b/>
                <w:sz w:val="24"/>
                <w:szCs w:val="24"/>
              </w:rPr>
              <w:t>PÓLO SÃO LUÍS</w:t>
            </w:r>
          </w:p>
        </w:tc>
        <w:tc>
          <w:tcPr>
            <w:tcW w:w="33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</w:t>
            </w:r>
          </w:p>
        </w:tc>
      </w:tr>
      <w:tr>
        <w:trPr>
          <w:trHeight w:val="750" w:hRule="atLeast"/>
        </w:trPr>
        <w:tc>
          <w:tcPr>
            <w:tcW w:w="5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NÚCLEOS ESPECIALIZADOS DE SÃO LUÍS</w:t>
            </w:r>
          </w:p>
        </w:tc>
        <w:tc>
          <w:tcPr>
            <w:tcW w:w="33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+ CR</w:t>
            </w:r>
          </w:p>
        </w:tc>
      </w:tr>
      <w:tr>
        <w:trPr>
          <w:trHeight w:val="750" w:hRule="atLeast"/>
        </w:trPr>
        <w:tc>
          <w:tcPr>
            <w:tcW w:w="5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ALCÂNTARA</w:t>
            </w:r>
          </w:p>
        </w:tc>
        <w:tc>
          <w:tcPr>
            <w:tcW w:w="33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PAÇO DO LUMIAR</w:t>
            </w:r>
          </w:p>
        </w:tc>
        <w:tc>
          <w:tcPr>
            <w:tcW w:w="33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ROSÁRIO</w:t>
            </w:r>
          </w:p>
        </w:tc>
        <w:tc>
          <w:tcPr>
            <w:tcW w:w="33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SANTA RITA</w:t>
            </w:r>
          </w:p>
        </w:tc>
        <w:tc>
          <w:tcPr>
            <w:tcW w:w="33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+ CR</w:t>
            </w:r>
          </w:p>
        </w:tc>
      </w:tr>
      <w:tr>
        <w:trPr>
          <w:trHeight w:val="750" w:hRule="atLeast"/>
        </w:trPr>
        <w:tc>
          <w:tcPr>
            <w:tcW w:w="5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SÃO JOSÉ DE RIBAMAR</w:t>
            </w:r>
          </w:p>
        </w:tc>
        <w:tc>
          <w:tcPr>
            <w:tcW w:w="332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83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RAPOSA</w:t>
            </w:r>
          </w:p>
        </w:tc>
        <w:tc>
          <w:tcPr>
            <w:tcW w:w="3328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BARREIRINHAS</w:t>
            </w:r>
          </w:p>
        </w:tc>
        <w:tc>
          <w:tcPr>
            <w:tcW w:w="332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CR</w:t>
            </w:r>
          </w:p>
        </w:tc>
      </w:tr>
      <w:tr>
        <w:trPr>
          <w:trHeight w:val="960" w:hRule="atLeast"/>
        </w:trPr>
        <w:tc>
          <w:tcPr>
            <w:tcW w:w="5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TUTOIA</w:t>
            </w:r>
          </w:p>
        </w:tc>
        <w:tc>
          <w:tcPr>
            <w:tcW w:w="332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CR</w:t>
            </w:r>
          </w:p>
        </w:tc>
      </w:tr>
      <w:tr>
        <w:trPr/>
        <w:tc>
          <w:tcPr>
            <w:tcW w:w="5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5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ANAJATUBA</w:t>
            </w:r>
          </w:p>
        </w:tc>
        <w:tc>
          <w:tcPr>
            <w:tcW w:w="332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92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820"/>
        <w:gridCol w:w="3404"/>
      </w:tblGrid>
      <w:tr>
        <w:trPr>
          <w:trHeight w:val="735" w:hRule="atLeast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PÓLO CHAPADINHA/PINHEIRO</w:t>
            </w:r>
          </w:p>
        </w:tc>
        <w:tc>
          <w:tcPr>
            <w:tcW w:w="34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</w:t>
            </w:r>
          </w:p>
        </w:tc>
      </w:tr>
      <w:tr>
        <w:trPr>
          <w:trHeight w:val="735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PINHEIRO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CHAPADINHA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+ CR</w:t>
            </w:r>
          </w:p>
        </w:tc>
      </w:tr>
      <w:tr>
        <w:trPr>
          <w:trHeight w:val="735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ITAPECURU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+ CR</w:t>
            </w:r>
          </w:p>
        </w:tc>
      </w:tr>
      <w:tr>
        <w:trPr>
          <w:trHeight w:val="735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VIANA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ICATU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MORROS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VARGEM GRANDE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HUMBERTO DE CAMPOS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CEDRAL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CANTANHEDE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CURURUPU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PENALVA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+ CR</w:t>
            </w:r>
          </w:p>
        </w:tc>
      </w:tr>
      <w:tr>
        <w:trPr>
          <w:trHeight w:val="735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ARARI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+ 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SANTA HELENA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SANTA QUITÉRIA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VITÓRIA DO MEARIM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+ 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SANTA LUZIA DO PARUÁ</w:t>
            </w:r>
          </w:p>
        </w:tc>
        <w:tc>
          <w:tcPr>
            <w:tcW w:w="3404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MATINHA </w:t>
            </w:r>
          </w:p>
        </w:tc>
        <w:tc>
          <w:tcPr>
            <w:tcW w:w="340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TURIAÇU</w:t>
            </w:r>
          </w:p>
        </w:tc>
        <w:tc>
          <w:tcPr>
            <w:tcW w:w="340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92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820"/>
        <w:gridCol w:w="3404"/>
      </w:tblGrid>
      <w:tr>
        <w:trPr>
          <w:trHeight w:val="735" w:hRule="atLeast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PÓLO PRESIDENTE DUTRA</w:t>
            </w:r>
          </w:p>
        </w:tc>
        <w:tc>
          <w:tcPr>
            <w:tcW w:w="34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PRESIDENTE DUTRA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SÃO JOÃO DOS PATOS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COLINAS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PASTOS BONS</w:t>
            </w:r>
          </w:p>
        </w:tc>
        <w:tc>
          <w:tcPr>
            <w:tcW w:w="340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GOVERNADOR EUGENIO BARROS</w:t>
            </w:r>
          </w:p>
        </w:tc>
        <w:tc>
          <w:tcPr>
            <w:tcW w:w="340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92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879"/>
        <w:gridCol w:w="3375"/>
      </w:tblGrid>
      <w:tr>
        <w:trPr>
          <w:trHeight w:val="735" w:hRule="atLeast"/>
        </w:trPr>
        <w:tc>
          <w:tcPr>
            <w:tcW w:w="5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PÓLO SANTA INÊS/BACABAL</w:t>
            </w:r>
          </w:p>
        </w:tc>
        <w:tc>
          <w:tcPr>
            <w:tcW w:w="3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</w:t>
            </w:r>
          </w:p>
        </w:tc>
      </w:tr>
      <w:tr>
        <w:trPr>
          <w:trHeight w:val="735" w:hRule="atLeast"/>
        </w:trPr>
        <w:tc>
          <w:tcPr>
            <w:tcW w:w="5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BACABAL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-720" w:firstLine="7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GOVERNADOR NUNES FREIRE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PEDREIRAS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+ CR</w:t>
            </w:r>
          </w:p>
        </w:tc>
      </w:tr>
      <w:tr>
        <w:trPr>
          <w:trHeight w:val="750" w:hRule="atLeast"/>
        </w:trPr>
        <w:tc>
          <w:tcPr>
            <w:tcW w:w="5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BOM JARDIM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PINDARÉ MIRIM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+ CR</w:t>
            </w:r>
          </w:p>
        </w:tc>
      </w:tr>
      <w:tr>
        <w:trPr>
          <w:trHeight w:val="735" w:hRule="atLeast"/>
        </w:trPr>
        <w:tc>
          <w:tcPr>
            <w:tcW w:w="5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ZÉ DOCA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LAGO DA PEDRA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+ CR</w:t>
            </w:r>
          </w:p>
        </w:tc>
      </w:tr>
      <w:tr>
        <w:trPr>
          <w:trHeight w:val="750" w:hRule="atLeast"/>
        </w:trPr>
        <w:tc>
          <w:tcPr>
            <w:tcW w:w="5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ESPERANTINÓPOLIS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SÃO MATEUS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TUNTUM</w:t>
            </w:r>
          </w:p>
        </w:tc>
        <w:tc>
          <w:tcPr>
            <w:tcW w:w="337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8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MARACAÇUMÉ</w:t>
            </w:r>
          </w:p>
        </w:tc>
        <w:tc>
          <w:tcPr>
            <w:tcW w:w="337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916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761"/>
        <w:gridCol w:w="3403"/>
      </w:tblGrid>
      <w:tr>
        <w:trPr>
          <w:trHeight w:val="735" w:hRule="atLeast"/>
        </w:trPr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PÓLO CAXIAS</w:t>
            </w:r>
          </w:p>
        </w:tc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</w:t>
            </w:r>
          </w:p>
        </w:tc>
      </w:tr>
      <w:tr>
        <w:trPr>
          <w:trHeight w:val="735" w:hRule="atLeast"/>
        </w:trPr>
        <w:tc>
          <w:tcPr>
            <w:tcW w:w="57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CAXIAS</w:t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7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TIMON</w:t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7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CODÓ</w:t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7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COELHO NETO</w:t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7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MATÕES</w:t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7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PARNARAMA</w:t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7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COROATÁ</w:t>
            </w:r>
          </w:p>
        </w:tc>
        <w:tc>
          <w:tcPr>
            <w:tcW w:w="34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+ 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909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701"/>
        <w:gridCol w:w="3388"/>
      </w:tblGrid>
      <w:tr>
        <w:trPr>
          <w:trHeight w:val="735" w:hRule="atLeast"/>
        </w:trPr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PÓLO IMPERATRIZ</w:t>
            </w:r>
          </w:p>
        </w:tc>
        <w:tc>
          <w:tcPr>
            <w:tcW w:w="33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</w:t>
            </w:r>
          </w:p>
        </w:tc>
      </w:tr>
      <w:tr>
        <w:trPr>
          <w:trHeight w:val="735" w:hRule="atLeast"/>
        </w:trPr>
        <w:tc>
          <w:tcPr>
            <w:tcW w:w="5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IMPERATRIZ</w:t>
            </w:r>
          </w:p>
        </w:tc>
        <w:tc>
          <w:tcPr>
            <w:tcW w:w="33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AÇAILÂNDIA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BALSAS</w:t>
            </w:r>
          </w:p>
        </w:tc>
        <w:tc>
          <w:tcPr>
            <w:tcW w:w="33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GRAJAÚ</w:t>
            </w:r>
          </w:p>
        </w:tc>
        <w:tc>
          <w:tcPr>
            <w:tcW w:w="33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50" w:hRule="atLeast"/>
        </w:trPr>
        <w:tc>
          <w:tcPr>
            <w:tcW w:w="5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BURITICUPU</w:t>
            </w:r>
          </w:p>
        </w:tc>
        <w:tc>
          <w:tcPr>
            <w:tcW w:w="33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NÚCLEO REGIONAL DE CAROLINA</w:t>
            </w:r>
          </w:p>
        </w:tc>
        <w:tc>
          <w:tcPr>
            <w:tcW w:w="3388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ESTREITO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PORTO FRANCO 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CR</w:t>
            </w:r>
          </w:p>
        </w:tc>
      </w:tr>
      <w:tr>
        <w:trPr>
          <w:trHeight w:val="735" w:hRule="atLeast"/>
        </w:trPr>
        <w:tc>
          <w:tcPr>
            <w:tcW w:w="5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AMARANTE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b/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CR</w:t>
            </w:r>
          </w:p>
        </w:tc>
      </w:tr>
    </w:tbl>
    <w:p>
      <w:pPr>
        <w:pStyle w:val="Normal"/>
        <w:spacing w:before="240" w:after="240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 </w:t>
      </w:r>
    </w:p>
    <w:p>
      <w:pPr>
        <w:pStyle w:val="Normal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ESTÁGIO DE PÓS-GRADUAÇÃO - ADMINISTRAÇÃO</w:t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9072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10"/>
        <w:gridCol w:w="4761"/>
      </w:tblGrid>
      <w:tr>
        <w:trPr>
          <w:trHeight w:val="667" w:hRule="atLeast"/>
        </w:trPr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SÃO LUÍS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SÃO LUÍS </w:t>
            </w:r>
          </w:p>
        </w:tc>
        <w:tc>
          <w:tcPr>
            <w:tcW w:w="47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 xml:space="preserve">CR 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425" w:hanging="555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SÃO JOSÉ DE RIBAMAR </w:t>
            </w:r>
          </w:p>
        </w:tc>
        <w:tc>
          <w:tcPr>
            <w:tcW w:w="47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CR</w:t>
            </w:r>
          </w:p>
        </w:tc>
      </w:tr>
    </w:tbl>
    <w:p>
      <w:pPr>
        <w:pStyle w:val="Normal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ESTÁGIO DE PÓS-GRADUAÇÃO - SERVIÇO SOCIAL</w:t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jc w:val="center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tbl>
      <w:tblPr>
        <w:tblW w:w="9072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310"/>
        <w:gridCol w:w="4761"/>
      </w:tblGrid>
      <w:tr>
        <w:trPr>
          <w:trHeight w:val="667" w:hRule="atLeast"/>
        </w:trPr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2D69B" w:themeFill="accent3" w:themeFillTint="99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>POLO SÃO LUÍS</w:t>
            </w:r>
          </w:p>
        </w:tc>
      </w:tr>
      <w:tr>
        <w:trPr>
          <w:trHeight w:val="485" w:hRule="atLeast"/>
        </w:trPr>
        <w:tc>
          <w:tcPr>
            <w:tcW w:w="4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SÃO LUÍS - SERVIÇO SOCIAL </w:t>
            </w:r>
          </w:p>
        </w:tc>
        <w:tc>
          <w:tcPr>
            <w:tcW w:w="47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980" w:hanging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sz w:val="24"/>
                <w:szCs w:val="24"/>
              </w:rPr>
              <w:t xml:space="preserve"> </w:t>
            </w:r>
            <w:r>
              <w:rPr>
                <w:rFonts w:eastAsia="Trebuchet MS"/>
                <w:b/>
                <w:sz w:val="24"/>
                <w:szCs w:val="24"/>
              </w:rPr>
              <w:t>01 + CR</w:t>
            </w:r>
          </w:p>
        </w:tc>
      </w:tr>
    </w:tbl>
    <w:p>
      <w:pPr>
        <w:pStyle w:val="Normal"/>
        <w:spacing w:before="240" w:after="240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</w:r>
    </w:p>
    <w:p>
      <w:pPr>
        <w:pStyle w:val="Normal"/>
        <w:spacing w:before="240" w:after="240"/>
        <w:rPr>
          <w:rFonts w:eastAsia="Trebuchet MS"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Art. 2º </w:t>
      </w:r>
      <w:r>
        <w:rPr>
          <w:rFonts w:eastAsia="Trebuchet MS"/>
          <w:sz w:val="24"/>
          <w:szCs w:val="24"/>
        </w:rPr>
        <w:t xml:space="preserve">O presente edital será publicado no site da DPE/MA e no DOE/MA. </w:t>
      </w:r>
    </w:p>
    <w:p>
      <w:pPr>
        <w:pStyle w:val="Corpodotexto"/>
        <w:rPr/>
      </w:pPr>
      <w:r>
        <w:rPr/>
      </w:r>
    </w:p>
    <w:p>
      <w:pPr>
        <w:pStyle w:val="Corpodotexto"/>
        <w:ind w:left="5682" w:hanging="0"/>
        <w:rPr/>
      </w:pPr>
      <w:r>
        <w:rPr/>
        <w:t>São Luís, 09 de fevereiro de 2022</w:t>
      </w:r>
    </w:p>
    <w:p>
      <w:pPr>
        <w:pStyle w:val="Corpodotexto"/>
        <w:rPr>
          <w:sz w:val="26"/>
        </w:rPr>
      </w:pPr>
      <w:r>
        <w:rPr>
          <w:sz w:val="26"/>
        </w:rPr>
      </w:r>
      <w:bookmarkStart w:id="0" w:name="_GoBack"/>
      <w:bookmarkStart w:id="1" w:name="_GoBack"/>
      <w:bookmarkEnd w:id="1"/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8" w:after="0"/>
        <w:rPr>
          <w:sz w:val="32"/>
        </w:rPr>
      </w:pPr>
      <w:r>
        <w:rPr>
          <w:sz w:val="32"/>
        </w:rPr>
      </w:r>
    </w:p>
    <w:p>
      <w:pPr>
        <w:pStyle w:val="Ttulo1"/>
        <w:ind w:left="309" w:right="601" w:hanging="0"/>
        <w:jc w:val="center"/>
        <w:rPr/>
      </w:pPr>
      <w:r>
        <w:rPr/>
        <w:t>GABRIEL SANTANA FURTADO SOARES</w:t>
      </w:r>
    </w:p>
    <w:p>
      <w:pPr>
        <w:pStyle w:val="Corpodotexto"/>
        <w:spacing w:before="41" w:after="0"/>
        <w:ind w:left="309" w:right="605" w:hanging="0"/>
        <w:jc w:val="center"/>
        <w:rPr/>
      </w:pPr>
      <w:r>
        <w:rPr/>
        <w:t>Subdefensor Público-Geral do Estado do Maranhão</w:t>
      </w:r>
    </w:p>
    <w:sectPr>
      <w:headerReference w:type="default" r:id="rId2"/>
      <w:footerReference w:type="default" r:id="rId3"/>
      <w:type w:val="nextPage"/>
      <w:pgSz w:w="11906" w:h="16838"/>
      <w:pgMar w:left="1520" w:right="1220" w:gutter="0" w:header="418" w:top="2280" w:footer="1159" w:bottom="13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Gill Sans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2" name="Caixa de texto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defensoria.ma.def.br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9" path="m0,0l-2147483645,0l-2147483645,-2147483646l0,-2147483646xe" stroked="f" o:allowincell="f" style="position:absolute;margin-left:145.2pt;margin-top:776.1pt;width:305.2pt;height:39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defensoria.ma.def.br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445" distB="4445" distL="4445" distR="4445" simplePos="0" locked="0" layoutInCell="0" allowOverlap="1" relativeHeight="33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9460" cy="635"/>
              <wp:effectExtent l="0" t="0" r="0" b="0"/>
              <wp:wrapNone/>
              <wp:docPr id="4" name="Line 3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5pt,774.35pt" ID="Line 3_4" stroked="t" o:allowincell="f" style="position:absolute;mso-position-horizontal-relative:page;mso-position-vertical-relative:page">
              <v:stroke color="#00530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5" name="Text Box 2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4" path="m0,0l-2147483645,0l-2147483645,-2147483646l0,-2147483646xe" stroked="f" o:allowincell="f" style="position:absolute;margin-left:145.2pt;margin-top:776.1pt;width:305.2pt;height:39.2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1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79" w:hanging="216"/>
      </w:pPr>
      <w:rPr>
        <w:sz w:val="24"/>
        <w:spacing w:val="-3"/>
        <w:b/>
        <w:szCs w:val="24"/>
        <w:bCs/>
        <w:w w:val="99"/>
        <w:rFonts w:eastAsia="Times New Roman" w:cs="Times New Roman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78" w:hanging="216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76" w:hanging="216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5" w:hanging="216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73" w:hanging="216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72" w:hanging="216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70" w:hanging="216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68" w:hanging="216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67" w:hanging="216"/>
      </w:pPr>
      <w:rPr>
        <w:rFonts w:ascii="Symbol" w:hAnsi="Symbol" w:cs="Symbol" w:hint="default"/>
        <w:lang w:val="pt-PT" w:eastAsia="pt-PT" w:bidi="pt-P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278da"/>
    <w:rPr>
      <w:rFonts w:ascii="Segoe UI" w:hAnsi="Segoe UI" w:eastAsia="Times New Roman" w:cs="Segoe UI"/>
      <w:sz w:val="18"/>
      <w:szCs w:val="18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9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57" w:before="35" w:after="0"/>
      <w:ind w:left="404" w:hanging="0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278d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LibreOffice/7.2.4.1$Windows_X86_64 LibreOffice_project/27d75539669ac387bb498e35313b970b7fe9c4f9</Application>
  <AppVersion>15.0000</AppVersion>
  <DocSecurity>0</DocSecurity>
  <Pages>7</Pages>
  <Words>739</Words>
  <Characters>3826</Characters>
  <CharactersWithSpaces>4400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2022-02-08T17:17:00Z</dcterms:created>
  <dc:creator>Lorena Fernandes</dc:creator>
  <dc:description/>
  <dc:language>pt-BR</dc:language>
  <cp:lastModifiedBy>Lorena Fernandes</cp:lastModifiedBy>
  <cp:lastPrinted>2022-02-09T13:26:00Z</cp:lastPrinted>
  <dcterms:modified xsi:type="dcterms:W3CDTF">2022-02-09T13:31:00Z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para Microsoft 365</vt:lpwstr>
  </property>
  <property fmtid="{D5CDD505-2E9C-101B-9397-08002B2CF9AE}" pid="4" name="HyperlinksChanged">
    <vt:bool>0</vt:bool>
  </property>
  <property fmtid="{D5CDD505-2E9C-101B-9397-08002B2CF9AE}" pid="5" name="LastSaved">
    <vt:filetime>2020-08-03T00:00:00Z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