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010.2021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através da Comissão do 14°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os (as) candidato (a) listado no EDITAL 008/2021, aprovado no 14°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07/10/2021 a 13/10/2021.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10.1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001.2021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/>
          <w:sz w:val="22"/>
          <w:szCs w:val="22"/>
        </w:rPr>
        <w:t xml:space="preserve">1.5 O candidato </w:t>
      </w:r>
      <w:r>
        <w:rPr>
          <w:rFonts w:cs="Calibri" w:ascii="Ecofont Vera Sans" w:hAnsi="Ecofont Vera Sans"/>
          <w:sz w:val="22"/>
          <w:szCs w:val="22"/>
        </w:rPr>
        <w:t>Vinícius Lima de Matos (3° colocado), requereu alocação em final de fila do processo seletivo. Requerimento deferido.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CANDIDATO CONVOCADO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tbl>
      <w:tblPr>
        <w:tblStyle w:val="Tabelacomgrade"/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3999"/>
        <w:gridCol w:w="1423"/>
        <w:gridCol w:w="1425"/>
        <w:gridCol w:w="1206"/>
        <w:gridCol w:w="1207"/>
      </w:tblGrid>
      <w:tr>
        <w:trPr>
          <w:trHeight w:val="284" w:hRule="atLeast"/>
        </w:trPr>
        <w:tc>
          <w:tcPr>
            <w:tcW w:w="53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</w:r>
          </w:p>
        </w:tc>
        <w:tc>
          <w:tcPr>
            <w:tcW w:w="399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NOME</w:t>
            </w:r>
          </w:p>
        </w:tc>
        <w:tc>
          <w:tcPr>
            <w:tcW w:w="142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OBJETIVA</w:t>
            </w:r>
          </w:p>
        </w:tc>
        <w:tc>
          <w:tcPr>
            <w:tcW w:w="1425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SUBJETIVA</w:t>
            </w:r>
          </w:p>
        </w:tc>
        <w:tc>
          <w:tcPr>
            <w:tcW w:w="1206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ENTREV.</w:t>
            </w:r>
          </w:p>
        </w:tc>
        <w:tc>
          <w:tcPr>
            <w:tcW w:w="1207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  <w:sz w:val="22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sz w:val="22"/>
                <w:lang w:val="pt-BR" w:bidi="ar-SA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05</w:t>
            </w:r>
            <w:bookmarkStart w:id="0" w:name="_GoBack"/>
            <w:bookmarkEnd w:id="0"/>
          </w:p>
        </w:tc>
        <w:tc>
          <w:tcPr>
            <w:tcW w:w="39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Guilherme Lima Sousa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19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6,5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5,0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30,5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07 de outubro de 2021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2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AE87-20DE-4B0C-AE0B-CFA3F271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LibreOffice/7.1.4.2$Windows_X86_64 LibreOffice_project/a529a4fab45b75fefc5b6226684193eb000654f6</Application>
  <AppVersion>15.0000</AppVersion>
  <Pages>3</Pages>
  <Words>307</Words>
  <Characters>1712</Characters>
  <CharactersWithSpaces>1998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2021-10-06T16:11:00Z</dcterms:created>
  <dc:creator>kbsilva</dc:creator>
  <dc:description/>
  <dc:language>pt-BR</dc:language>
  <cp:lastModifiedBy>Marcus da Cruz Santos</cp:lastModifiedBy>
  <cp:lastPrinted>2021-10-06T16:45:00Z</cp:lastPrinted>
  <dcterms:modified xsi:type="dcterms:W3CDTF">2021-10-06T16:58:00Z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