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PE"/>
        <w:jc w:val="center"/>
        <w:rPr/>
      </w:pPr>
      <w:r>
        <w:rPr/>
        <w:t>Edital nº</w:t>
      </w:r>
      <w:r>
        <w:rPr>
          <w:b/>
          <w:sz w:val="24"/>
        </w:rPr>
        <w:t xml:space="preserve"> 01/2021</w:t>
      </w:r>
      <w:r>
        <w:rPr/>
        <w:t xml:space="preserve">– Núcleo Regional de </w:t>
      </w:r>
      <w:r>
        <w:rPr>
          <w:b/>
          <w:sz w:val="24"/>
        </w:rPr>
        <w:t>Grajaú-MA</w:t>
      </w:r>
    </w:p>
    <w:p>
      <w:pPr>
        <w:pStyle w:val="DPE"/>
        <w:jc w:val="center"/>
        <w:rPr/>
      </w:pPr>
      <w:r>
        <w:rPr/>
        <w:t>I Processo Seletivo para Estágio Forense de Pós-Graduação em Direito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O Defensor Público-Geral do Estado do Maranhão, no uso de suas atribuições legais, considerando o disposto no artigo 37 da Constituição Federal, na Lei Federal nº 11.788, de 25 de Setembro de 2008, bem como na Resolução nº 008 – CSDPEMA, de 31 de maio de 2019, resolve tornar pública a abertura do I Processo Seletivo para admissão e formação de cadastro de reserva de estudantes em estágio não-obrigatório de Pós-Graduação em Direito, que atuarão no Núcleo Regional de </w:t>
      </w:r>
      <w:r>
        <w:rPr>
          <w:b w:val="false"/>
          <w:bCs/>
          <w:sz w:val="24"/>
        </w:rPr>
        <w:t>Grajaú</w:t>
      </w:r>
      <w:r>
        <w:rPr>
          <w:b w:val="false"/>
          <w:bCs/>
        </w:rPr>
        <w:t xml:space="preserve"> da Defensoria Pública do Estado do Maranhão, de acordo com a legislação vigente e as normas dispostas neste Edital e seus anexos.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widowControl/>
        <w:bidi w:val="0"/>
        <w:spacing w:lineRule="auto" w:line="360" w:before="0" w:after="0"/>
        <w:ind w:hanging="0"/>
        <w:jc w:val="both"/>
        <w:rPr>
          <w:rFonts w:ascii="Arial" w:hAnsi="Arial"/>
          <w:sz w:val="24"/>
        </w:rPr>
      </w:pPr>
      <w:r>
        <w:rPr>
          <w:sz w:val="24"/>
        </w:rPr>
        <w:t>1 - DAS DISPOSIÇÕES PRELIMINARES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1.1</w:t>
        <w:tab/>
        <w:t xml:space="preserve">A coordenação, organização e aplicação deste processo seletivo ficarão sob a responsabilidade da comissão designada na </w:t>
      </w:r>
      <w:r>
        <w:rPr/>
        <w:t xml:space="preserve">Portaria n° </w:t>
      </w:r>
      <w:r>
        <w:rPr>
          <w:b/>
          <w:bCs/>
          <w:sz w:val="24"/>
        </w:rPr>
        <w:t>758</w:t>
      </w:r>
      <w:r>
        <w:rPr/>
        <w:t>202</w:t>
      </w:r>
      <w:r>
        <w:rPr>
          <w:b/>
          <w:bCs/>
          <w:sz w:val="24"/>
        </w:rPr>
        <w:t>1</w:t>
      </w:r>
      <w:r>
        <w:rPr/>
        <w:t>-DPGE</w:t>
      </w:r>
      <w:r>
        <w:rPr>
          <w:b w:val="false"/>
          <w:bCs/>
        </w:rPr>
        <w:t xml:space="preserve">, sob a presidência da Defensora Pública </w:t>
      </w:r>
      <w:r>
        <w:rPr>
          <w:b w:val="false"/>
          <w:bCs/>
          <w:sz w:val="24"/>
        </w:rPr>
        <w:t>Ana Heloiza de Aquino e Souza</w:t>
      </w:r>
      <w:r>
        <w:rPr>
          <w:b w:val="false"/>
          <w:bCs/>
        </w:rPr>
        <w:t xml:space="preserve"> e secretariados os trabalhos pel</w:t>
      </w:r>
      <w:r>
        <w:rPr>
          <w:b w:val="false"/>
          <w:bCs/>
          <w:sz w:val="24"/>
        </w:rPr>
        <w:t>a Auxiliar Administrativa Artemiza Sousa de Sá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1.2</w:t>
        <w:tab/>
        <w:t xml:space="preserve"> É de responsabilidade exclusiva do candidato acompanhar todas as publicações referentes a este processo seletivo.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1.3</w:t>
        <w:tab/>
        <w:t xml:space="preserve"> O termo de Compromisso celebrado entre a Defensoria Pública do Estado do Maranhão e o estagiário, com a interveniência obrigatória da Instituição de Ensino, será regido pela Lei Federal nº 11.788, de 25 de Setembro de 2008 e pela Resolução nº 008 – CSDPEMA, de 31 de maio de 2019, não havendo vínculo empregatício entre os estes.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1.4</w:t>
        <w:tab/>
        <w:t>Os estagiários receberão Bolsa Auxílio no valor de R$ 1.420,00 (mil  e quatrocentos e vinte reais) e Auxílio Transporte no valor de R$ 52,00 (cinquenta e dois reais), perfazendo o total de R$ 1.472,00 (mil e quatrocentos e setenta e dois reais), conforme disposto na Resolução nº 003/2020 – CSDPEMA com carga horária diária de 04 (quatro) horas e 20 (vinte) horas semanais, de segunda a sexta-feira.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1.5</w:t>
        <w:tab/>
        <w:t xml:space="preserve"> O Conteúdo Programático está disposto no Anexo I deste Edital.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1.6</w:t>
        <w:tab/>
        <w:t xml:space="preserve"> O cronograma do Processo Seletivo está disposto no Anexo II deste Edital, podendo ser alterado, a critério da organização do seletivo, com as devidas publicações.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1.7</w:t>
        <w:tab/>
        <w:t>O estágio terá duração de até 01 (um) ano, podendo ser prorrogado por igual período, com exceção do estágio firmado com pessoa com deficiência, cuja renovação poderá ser prorrogada até a conclusão do curso ou colação de grau, conforme Resolução nº 008 – CSDPEMA, Art.8º §2º.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2 - DAS VAGAS, CURSO E LOTAÇÃO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2.1 Será disponibilizada 01 (uma) vaga mais cadastro de reserva para bacharéis em Direito que estejam cursando Pós-Graduação em Direito na data da convocação, para lotação no Núcleo Regional de </w:t>
      </w:r>
      <w:r>
        <w:rPr>
          <w:b w:val="false"/>
          <w:bCs/>
          <w:sz w:val="24"/>
        </w:rPr>
        <w:t>Grajaú</w:t>
      </w:r>
      <w:r>
        <w:rPr>
          <w:b w:val="false"/>
          <w:bCs/>
        </w:rPr>
        <w:t>, da Defensoria Pública do Estado do Maranhão.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2.2 A aprovação no processo seletivo não gera direito subjetivo à convocação.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2.3. Será formado um cadastro de reserva com os demais aprovados.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3 - DAS INSCRIÇÕES.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3.1 Os interessados deverão encaminhar currículo, acompanhado do diploma universitário no Curso de Bacharelado em Direito (ou certificado de conclusão de curso), cédula de identidade e CPF, e comprovante de residência para o seguinte endereço: nucleo</w:t>
      </w:r>
      <w:r>
        <w:rPr>
          <w:b w:val="false"/>
          <w:bCs/>
          <w:sz w:val="24"/>
        </w:rPr>
        <w:t>grajau</w:t>
      </w:r>
      <w:r>
        <w:rPr>
          <w:b w:val="false"/>
          <w:bCs/>
        </w:rPr>
        <w:t xml:space="preserve">@ma.def.br </w:t>
      </w:r>
      <w:r>
        <w:rPr/>
        <w:t xml:space="preserve">até o dia </w:t>
      </w:r>
      <w:r>
        <w:rPr>
          <w:b/>
          <w:bCs/>
          <w:sz w:val="24"/>
        </w:rPr>
        <w:t>2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2"/>
          <w:lang w:val="pt-BR" w:eastAsia="en-US" w:bidi="ar-SA"/>
        </w:rPr>
        <w:t>6</w:t>
      </w:r>
      <w:r>
        <w:rPr>
          <w:b/>
          <w:bCs/>
          <w:sz w:val="24"/>
        </w:rPr>
        <w:t xml:space="preserve"> de ju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2"/>
          <w:lang w:val="pt-BR" w:eastAsia="en-US" w:bidi="ar-SA"/>
        </w:rPr>
        <w:t>lh</w:t>
      </w:r>
      <w:r>
        <w:rPr>
          <w:b/>
          <w:bCs/>
          <w:sz w:val="24"/>
        </w:rPr>
        <w:t>o de 2021 até as 17:00h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3.2 Não será permitida inscrição pelos correios, fac-símile, condicional ou fora do prazo estabelecido.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3.3 O pedido de inscrição implicará aceitação, pelo(a) candidato(a), de todas as normas e condições do Edital.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 – DAS PROVAS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4.1</w:t>
        <w:tab/>
        <w:t xml:space="preserve"> O processo seletivo será constituído de uma prova escrita subjetiva, de caráter eliminatório e classificatório, com 01 questão discursiva, valendo 5,0 pontos, e 01 peça prática, valendo 5,0 pontos.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4.2</w:t>
        <w:tab/>
        <w:t xml:space="preserve"> Serão considerados classificados os candidatos que obtiveram a nota mínima de </w:t>
      </w:r>
      <w:r>
        <w:rPr>
          <w:b w:val="false"/>
          <w:bCs/>
          <w:sz w:val="24"/>
        </w:rPr>
        <w:t>5</w:t>
      </w:r>
      <w:r>
        <w:rPr>
          <w:b w:val="false"/>
          <w:bCs/>
        </w:rPr>
        <w:t>,0 pontos.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4.3</w:t>
        <w:tab/>
        <w:t>À prova subjetiva será atribuído valor máximo de 10 (dez) pontos.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4.4</w:t>
        <w:tab/>
        <w:t xml:space="preserve">Ao receber a prova subjetiva, deverá o candidato preencher seu CPF no local indicado, evitando rasuras.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4.5</w:t>
        <w:tab/>
        <w:t xml:space="preserve">Será eliminado o candidato que assinar seu nome ou efetuar qualquer tipo de marca ou sinal que possibilite sua identificação fora do campo apropriado.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4.6</w:t>
        <w:tab/>
        <w:t>Durante a realização da prova não será permitida comunicação entre os candidatos ou a utilização de aparelhos de comunicação.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4.7      Será permitido utilização de consulta apenas a legislação sem comentários e súmulas.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5 - DA REALIZAÇÃO DA PROVA: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5.1</w:t>
        <w:tab/>
        <w:t xml:space="preserve"> A prova será aplicada no </w:t>
      </w:r>
      <w:r>
        <w:rPr/>
        <w:t xml:space="preserve">dia </w:t>
      </w:r>
      <w:r>
        <w:rPr>
          <w:b/>
          <w:bCs/>
          <w:sz w:val="24"/>
        </w:rPr>
        <w:t>31 de julho</w:t>
      </w:r>
      <w:r>
        <w:rPr>
          <w:b w:val="false"/>
          <w:bCs/>
        </w:rPr>
        <w:t xml:space="preserve"> das </w:t>
      </w:r>
      <w:r>
        <w:rPr>
          <w:b w:val="false"/>
          <w:bCs/>
          <w:sz w:val="24"/>
        </w:rPr>
        <w:t xml:space="preserve">09h às 12h </w:t>
      </w:r>
      <w:r>
        <w:rPr>
          <w:b w:val="false"/>
          <w:bCs/>
        </w:rPr>
        <w:t>em local a ser oportunamente indicado a depender da quantidade de inscritos e divulgado pelos meios de contato indicados pelos candidatos com as inscrições deferidas.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5.2</w:t>
        <w:tab/>
        <w:t xml:space="preserve"> Os portões dos locais de prova serão fechados 15 (quinze) minutos antes do horário de início da aplicação da prova – Horário Local.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5.3</w:t>
        <w:tab/>
        <w:t>O candidato deverá comparecer ao local designado munido de caneta esferográfica transparente de tinta azul ou preta, apresentando documento oficial e original com foto;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5.4</w:t>
        <w:tab/>
        <w:t>Não será admitido, na sala de prova, o candidato que se apresentar após o horário estabelecido para o seu início.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5.5</w:t>
        <w:tab/>
        <w:t>Em razão da Pandemia da COVID-19, medidas preventivas, como distanciamento mínimo de 1 metro e outras recomendadas pelos órgãos de saúde, serão tomadas durante a identificação dos candidatos e realização da prova.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6 - DOS RECURSOS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6.1</w:t>
        <w:tab/>
        <w:t>Caberá interposição de recursos devidamente fundamentados, perante a Comissão do Processo Seletivo, no prazo de 02 (dois) dias úteis, contados do primeiro dia subsequente à publicação dos resultados referentes apenas às questões da prova;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6.2</w:t>
        <w:tab/>
        <w:t>Os recursos deverão ser remetidos para o endereço eletrônico nucleo</w:t>
      </w:r>
      <w:r>
        <w:rPr>
          <w:b w:val="false"/>
          <w:bCs/>
          <w:sz w:val="24"/>
        </w:rPr>
        <w:t>grajau</w:t>
      </w:r>
      <w:r>
        <w:rPr>
          <w:b w:val="false"/>
          <w:bCs/>
        </w:rPr>
        <w:t>@ma.def.br, com os seguintes dados: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6.2.1</w:t>
        <w:tab/>
        <w:t>A questão objeto de controvérsia, na íntegra; e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6.2.2</w:t>
        <w:tab/>
        <w:t>A fundamentação ou o embasamento, com as devidas razões do recurso.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6.3</w:t>
        <w:tab/>
        <w:t>Os recursos serão analisados pela comissão do Processo Seletivo, que deliberará como última instância na esfera administrativa.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6.4</w:t>
        <w:tab/>
        <w:t xml:space="preserve">As respostas aos recursos interpostos serão enviadas aos e-mails dos candidatos e afixadas no mural da sede da Defensoria Pública em </w:t>
      </w:r>
      <w:r>
        <w:rPr>
          <w:b w:val="false"/>
          <w:bCs/>
          <w:sz w:val="24"/>
        </w:rPr>
        <w:t>Grajaú</w:t>
      </w:r>
      <w:r>
        <w:rPr>
          <w:b w:val="false"/>
          <w:bCs/>
        </w:rPr>
        <w:t>/MA.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7 - DA PONTUAÇÃO PELO ESTÁGIO EXERCIDO NA DEFENSORIA PÚBLICA DO ESTADO DO MARANHÃO: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7.1</w:t>
        <w:tab/>
        <w:t>No momento da inscrição o candidato informará se exerceu ou exerce a atividade de estágio na Defensoria Pública do Estado do Maranhão.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7.2</w:t>
        <w:tab/>
        <w:t>Aos candidatos classificados será atribuída pontuação extra de 0,5 décimos por cada ano comprovado de estágio exercido na Defensoria Pública do Estado do Maranhão, não podendo ultrapassar o total de 01 (um) ponto.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7.3</w:t>
        <w:tab/>
        <w:t>Para a obtenção da pontuação será exigido o exercício do estágio pelo período mínimo de 01 ano. Para a obtenção da pontuação máxima será exigida a comprovação do período de 02 anos.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8 – DOS CRITÉRIOS DE DESEMPATE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8.1 Os critérios de desempate dos candidatos serão, nessa ordem, os seguintes: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a)</w:t>
        <w:tab/>
        <w:t>A maior nota obtida na peça;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b)</w:t>
        <w:tab/>
        <w:t>A maior nota obtida na questão discursiva;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c)</w:t>
        <w:tab/>
        <w:t>Candidato com maior idade, considerando, dia, mês e ano de nascimento;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9 – DA CONTRATAÇÃO.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9.1 Para ingressar em estágio de Pós-Gradução em Direito na Defensoria Pública do Estado do Maranhão, o candidato deverá: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a)</w:t>
        <w:tab/>
        <w:t>ter sido aprovado no processo seletivo;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b)</w:t>
        <w:tab/>
        <w:t>ser bacharel em Direito;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c)</w:t>
        <w:tab/>
        <w:t>estar regularmente matriculado em curso de Pós-graduação, em nível de especialização, mestrado, doutorado ou pós-doutorado, em Direito;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d)</w:t>
        <w:tab/>
        <w:t>firmar termo de compromisso com a Defensoria Pública do Estado do Maranhão;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e)</w:t>
        <w:tab/>
        <w:t>comprovar, quando for o caso, estar em dia com as obrigações militares e no pleno gozo dos direitos políticos;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f)</w:t>
        <w:tab/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9.2 O curso de Pós-graduação em Direito deverá atender, ainda, às seguintes exigências: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a)</w:t>
        <w:tab/>
        <w:t>possuir carga-horária mínima de 360 (trezentos e sessenta) horas-aula;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b)</w:t>
        <w:tab/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c)</w:t>
        <w:tab/>
        <w:t>ter autorização e reconhecimento do Ministério da Educação.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9.3 Por ocasião da contratação deverão ser apresentados originais e cópias dos seguintes documentos: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a)</w:t>
        <w:tab/>
        <w:t>CPF;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b)</w:t>
        <w:tab/>
        <w:t>Carteira de Identidade –RG;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c)</w:t>
        <w:tab/>
        <w:t>Comprovante de residência;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d)</w:t>
        <w:tab/>
        <w:t>Histórico escolar;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e)</w:t>
        <w:tab/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f)</w:t>
        <w:tab/>
        <w:t>Comprovante de quitação de obrigações militares e eleitorais;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g)</w:t>
        <w:tab/>
        <w:t>2 Fotos 3x4;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h)</w:t>
        <w:tab/>
        <w:t xml:space="preserve"> Diploma de bacharel em Direito, reconhecido pelo Ministério da Educação ou certidão de conclusão de curso;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i)</w:t>
        <w:tab/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j)</w:t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k)</w:t>
        <w:tab/>
        <w:t>Em se tratando de indivíduo inscrito como pessoa que possui algum tipo de deficiência faz-se necessária a apresentação do laudo médico comprobatório;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l)</w:t>
        <w:tab/>
        <w:t>Comprovante de conta corrente;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9.4 Só serão admitidos como estagiários os estudantes de instituições de ensino conveniadas com a Defensoria Pública-Geral do Estado do Maranhão.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 – DAS DISPOSIÇÕES FINAIS.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10.1</w:t>
        <w:tab/>
        <w:t>A inscrição implica na aceitação por parte do candidato de todos os princípios, normas e condições do processo seletivo, estabelecidos no presente Edital e na legislação pertinente.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10.2</w:t>
        <w:tab/>
        <w:t>A Comissão do Processo Seletivo não se responsabilizará por quaisquer cursos, textos, apostilas e outras publicações referentes ao processo seletivo.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10.3</w:t>
        <w:tab/>
        <w:t>Após o encerramento do processo seletivo, as provas serão enviadas para o arquivo.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10.4</w:t>
        <w:tab/>
        <w:t>O candidato obriga-se a manter atualizado seu endereço para correspondência, junto à Defensoria Pública do Estado do Maranhão, após o resultado.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10.5</w:t>
        <w:tab/>
        <w:t>A validade do presente processo seletivo será de 1 (um) ano, prorrogável, a critério da Defensoria Pública-Geral do Estado do Maranhão, por igual período.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10.6</w:t>
        <w:tab/>
        <w:t>A convocação para contratação dos candidatos habilitados obedecerá rigorosamente à ordem de classificação.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10.7</w:t>
        <w:tab/>
        <w:t>Os casos omissos serão decididos pela Comissão do Processo Seletivo.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10.8</w:t>
        <w:tab/>
        <w:t xml:space="preserve">Caberá ao Defensor Público-Geral do Estado a homologação dos resultados deste processo seletivo.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  <w:sz w:val="24"/>
        </w:rPr>
        <w:t>Grajaú</w:t>
      </w:r>
      <w:r>
        <w:rPr>
          <w:b w:val="false"/>
          <w:bCs/>
        </w:rPr>
        <w:t xml:space="preserve">/MA, </w:t>
      </w:r>
      <w:r>
        <w:rPr>
          <w:b w:val="false"/>
          <w:bCs/>
          <w:sz w:val="24"/>
        </w:rPr>
        <w:t>1</w:t>
      </w:r>
      <w:r>
        <w:rPr>
          <w:rFonts w:eastAsia="Calibri" w:cs="" w:cstheme="minorBidi" w:eastAsiaTheme="minorHAnsi"/>
          <w:b w:val="false"/>
          <w:bCs/>
          <w:color w:val="auto"/>
          <w:kern w:val="0"/>
          <w:sz w:val="24"/>
          <w:szCs w:val="22"/>
          <w:lang w:val="pt-BR" w:eastAsia="en-US" w:bidi="ar-SA"/>
        </w:rPr>
        <w:t>4</w:t>
      </w:r>
      <w:r>
        <w:rPr>
          <w:b w:val="false"/>
          <w:bCs/>
          <w:sz w:val="24"/>
        </w:rPr>
        <w:t xml:space="preserve"> de julho de 2021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rFonts w:ascii="Arial" w:hAnsi="Arial"/>
          <w:b w:val="false"/>
          <w:b w:val="false"/>
          <w:bCs/>
          <w:sz w:val="24"/>
        </w:rPr>
      </w:pPr>
      <w:r>
        <w:rPr>
          <w:b w:val="false"/>
          <w:bCs/>
          <w:sz w:val="24"/>
        </w:rPr>
        <w:t>Ana Heloiza de Aquino e Souza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  <w:t>Defensora Pública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  <w:t>Presidente da Comissão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/>
      </w:pPr>
      <w:r>
        <w:rPr/>
        <w:t>ANEXO I</w:t>
      </w:r>
    </w:p>
    <w:p>
      <w:pPr>
        <w:pStyle w:val="DPE"/>
        <w:jc w:val="center"/>
        <w:rPr/>
      </w:pPr>
      <w:r>
        <w:rPr/>
        <w:t>CONTEÚDO PROGRAMÁTICO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 </w:t>
      </w:r>
      <w:r>
        <w:rPr>
          <w:b w:val="false"/>
          <w:bCs/>
        </w:rPr>
        <w:t xml:space="preserve">DIREITO CIVIL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Teoria Geral do Direito Civil (Parte Geral). 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Do direito das obrigações.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Da responsabilidade civil.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Do direito das coisas.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Do direito de família.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Do direito das sucessões.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Diplomas legais, 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DA CRIANÇA E DO ADOLESCENTE </w:t>
      </w:r>
    </w:p>
    <w:p>
      <w:pPr>
        <w:pStyle w:val="DPE"/>
        <w:numPr>
          <w:ilvl w:val="0"/>
          <w:numId w:val="5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Lei 8069/90 </w:t>
      </w:r>
    </w:p>
    <w:p>
      <w:pPr>
        <w:pStyle w:val="DPE"/>
        <w:numPr>
          <w:ilvl w:val="0"/>
          <w:numId w:val="5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Lei 12.594/12 </w:t>
      </w:r>
    </w:p>
    <w:p>
      <w:pPr>
        <w:pStyle w:val="DPE"/>
        <w:numPr>
          <w:ilvl w:val="0"/>
          <w:numId w:val="5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PROCESSUAL CIVIL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Solução consensual dos conflitos. Autocomposição. Mediação e Conciliação. Resolução 125 do CNJ.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Teoria geral do processo.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Processo de conhecimento.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Dos processos nos Tribunais e os meios de impugnação das decisões judiciais. 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Processo de execução e cumprimento de sentença.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Procedimentos especiais.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Processos coletivos: teoria geral 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Diplomas legais, 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PENAL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Conceito e características do Direito Penal. Fontes do Direito Penal. Aplicação da lei penal. Lei penal no tempo. Lei excepcional ou temporária. Tempo do crime. Lugar do crime. Interpretação e integração da lei penal. Concurso aparente de normas. Analogia.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Princípios constitucionais penais.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Tipicidade. Tipicidade formal e tipicidade material. Elementares. Consumação e tentativa. Desistência voluntária e arrependimento eficaz.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Teoria do erro jurídico-penal.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Ilicitude. Causas excludentes da ilicitude.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Culpabilidade. Causas excludentes da culpabilidade.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Arrependimento posterior.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Condições objetivas de punibilidade e escusas absolutórias.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Concurso de pessoas.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Concurso de crimes.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Penas privativas de liberdade, restritivas de direitos e de multa. Cominação e aplicação da pena. Efeitos da condenação. Suspensão condicional da pena ("sursis"). Medidas de segurança.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Regimes de cumprimento de pena. Progressão e regressão de regime. Livramento condicional.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Extinção da punibilidade. Prescrição penal.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>Crimes contra a pessoa. Crimes contra o patrimônio.</w:t>
        <w:tab/>
        <w:t xml:space="preserve">Crimes contra a dignidade sexual. Crimes contra a Administração Pública.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tipificados no Código Brasileiro de Trânsito (Lei n.º 9.503/97).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hediondos (Lei nº 8.072/90).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tipificados na Lei nº 11.340/06.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tipificados no Estatuto da Criança e do Adolescente (Lei nº 8.069/90).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tipificados na Lei nº 11.343/06.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tipificados no Estatuto do Desarmamento (Lei nº 10.826/03).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Diplomas legais, 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PROCESSUAL PENAL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Sistemas processuais penais. Princípios processuais penais. Princípios constitucionais. Aplicação e interpretação da lei processual. Norma Processual Penal: fonte e eficácia.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Persecução penal. Inquérito policial e outros procedimentos preparatórios da ação penal.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Arquivamento e desarquivamento de inquérito policial e peças de informação.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Condições da ação. Pressupostos processuais.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Ação penal pública. Ação penal privada. Ação penal privada subsidiária da pública.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Competência. Jurisdição.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Prova.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Sujeitos do processo.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Fatos e atos processuais. Citação, notificação e intimação. Teoria geral do procedimento. Procedimento ordinário, sumário e sumaríssimo. Procedimentos especiais. Procedimento dos Juizados Especiais Criminais (Lei n° 9.099/95). Procedimento dos crimes dolosos contra a vida. Procedimento da Lei de Violência Doméstica (Lei nº 11.340/06).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Prisão processual e liberdade.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Sentença Penal. Efeitos da condenação.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Recursos em matéria criminal e na execução penal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Coisa julgada penal. Preclusão.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Revisão criminal.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Execução Penal (Lei 7.210/84).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Diplomas legais, 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CONSTITUCIONAL E PRINCÍPIOS INSTITUCIONAIS DA DEFENSORIA PÚBLICA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Constituição da República Federativa do Brasil de 1988.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Poder Constituinte.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e garantias fundamentais.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Da Nacionalidade – dos direitos políticos.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Organização político-administrativa do Estado.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Administração pública.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Da Organização dos Poderes.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Poder Legislativo.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Poder Judiciário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Funções essenciais à Justiça.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Defensoria Pública: Emenda Constitucional nº 80/2014. Lei complementar 80/94. Lei complementar 132/09.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Diplomas legais, 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DE MINORIAS E VULNERABILIZADOS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das mulheres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da População LGBTQIA+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da População negra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de Indígenas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de Quilombolas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>Direitos das Pessoas com Deficiência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tbl>
      <w:tblPr>
        <w:tblpPr w:vertAnchor="text" w:horzAnchor="margin" w:tblpXSpec="center" w:leftFromText="141" w:rightFromText="141" w:tblpY="841"/>
        <w:tblW w:w="7439" w:type="dxa"/>
        <w:jc w:val="center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3"/>
        <w:gridCol w:w="3195"/>
      </w:tblGrid>
      <w:tr>
        <w:trPr>
          <w:trHeight w:val="809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</w:tcPr>
          <w:p>
            <w:pPr>
              <w:pStyle w:val="TableParagraph"/>
              <w:widowControl w:val="false"/>
              <w:spacing w:lineRule="auto" w:line="360" w:before="120" w:after="120"/>
              <w:ind w:left="44" w:right="675" w:hanging="0"/>
              <w:jc w:val="both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ATIVIDADES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</w:tcPr>
          <w:p>
            <w:pPr>
              <w:pStyle w:val="TableParagraph"/>
              <w:widowControl w:val="false"/>
              <w:spacing w:lineRule="auto" w:line="360" w:before="120" w:after="120"/>
              <w:ind w:left="159" w:right="143" w:hanging="0"/>
              <w:jc w:val="both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DATA</w:t>
            </w:r>
          </w:p>
        </w:tc>
      </w:tr>
      <w:tr>
        <w:trPr>
          <w:trHeight w:val="328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Publicação do Edital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ind w:left="159" w:right="144" w:hanging="0"/>
              <w:jc w:val="both"/>
              <w:rPr/>
            </w:pPr>
            <w:r>
              <w:rPr/>
            </w:r>
          </w:p>
        </w:tc>
      </w:tr>
      <w:tr>
        <w:trPr>
          <w:trHeight w:val="328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Recebimento de Inscrições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ind w:left="159" w:right="142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Até </w:t>
            </w:r>
            <w:r>
              <w:rPr>
                <w:rFonts w:eastAsia="Arial" w:cs="Arial"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  <w:t>26/07/2021</w:t>
            </w:r>
          </w:p>
        </w:tc>
      </w:tr>
      <w:tr>
        <w:trPr>
          <w:trHeight w:val="328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Aplicação da prova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ind w:left="159" w:right="144" w:hanging="0"/>
              <w:jc w:val="both"/>
              <w:rPr>
                <w:rFonts w:ascii="Arial" w:hAnsi="Arial" w:eastAsia="Arial" w:cs="Arial"/>
                <w:b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Arial"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  <w:t>31/07/2021</w:t>
            </w:r>
          </w:p>
        </w:tc>
      </w:tr>
      <w:tr>
        <w:trPr>
          <w:trHeight w:val="328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Divulgação do Resultado Preliminar do Processo Seletivo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ind w:left="146" w:right="144" w:hanging="0"/>
              <w:jc w:val="both"/>
              <w:rPr>
                <w:rFonts w:ascii="Arial" w:hAnsi="Arial" w:eastAsia="Arial" w:cs="Arial"/>
                <w:b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Arial"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  <w:t>06/08/2021</w:t>
            </w:r>
          </w:p>
        </w:tc>
      </w:tr>
      <w:tr>
        <w:trPr>
          <w:trHeight w:val="562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Prazo Recursos Resultado Preliminar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ind w:left="148" w:right="144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(dois) dias úteis após publicação do resultado preliminar</w:t>
            </w:r>
          </w:p>
        </w:tc>
      </w:tr>
      <w:tr>
        <w:trPr>
          <w:trHeight w:val="328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Divulgação do julgamento dos recursos e publicação do resultado definitivo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widowControl w:val="false"/>
              <w:spacing w:lineRule="auto" w:line="360" w:before="120" w:after="120"/>
              <w:ind w:left="146" w:right="144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definir</w:t>
            </w:r>
          </w:p>
        </w:tc>
      </w:tr>
    </w:tbl>
    <w:p>
      <w:pPr>
        <w:pStyle w:val="Ttulo1"/>
        <w:spacing w:lineRule="auto" w:line="360" w:before="120" w:after="120"/>
        <w:ind w:left="0" w:right="-1" w:hanging="0"/>
        <w:jc w:val="center"/>
        <w:rPr>
          <w:sz w:val="24"/>
          <w:szCs w:val="24"/>
        </w:rPr>
      </w:pPr>
      <w:r/>
      <w:r>
        <w:rPr>
          <w:sz w:val="24"/>
          <w:szCs w:val="24"/>
        </w:rPr>
        <w:t>ANEXO II</w:t>
      </w:r>
    </w:p>
    <w:p>
      <w:pPr>
        <w:pStyle w:val="Ttulo1"/>
        <w:spacing w:lineRule="auto" w:line="360" w:before="120" w:after="120"/>
        <w:ind w:left="0" w:right="-1" w:hanging="0"/>
        <w:jc w:val="center"/>
        <w:rPr/>
      </w:pPr>
      <w:r>
        <w:rPr>
          <w:sz w:val="24"/>
          <w:szCs w:val="24"/>
          <w:shd w:fill="FFFFFF" w:val="clear"/>
        </w:rPr>
        <w:t>CRONOGRAMA</w:t>
      </w:r>
    </w:p>
    <w:p>
      <w:pPr>
        <w:pStyle w:val="Standard"/>
        <w:spacing w:lineRule="auto" w:line="360" w:before="120" w:after="120"/>
        <w:jc w:val="both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Standard"/>
        <w:spacing w:lineRule="auto" w:line="360" w:before="120" w:after="120"/>
        <w:jc w:val="both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Standard"/>
        <w:spacing w:lineRule="auto" w:line="360" w:before="120" w:after="120"/>
        <w:jc w:val="both"/>
        <w:rPr/>
      </w:pPr>
      <w:r>
        <w:rPr/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adea">
    <w:altName w:val="Cambri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0" w:right="-2" w:hanging="0"/>
      <w:jc w:val="center"/>
      <w:rPr>
        <w:b/>
        <w:b/>
        <w:bCs/>
        <w:color w:val="00A933"/>
        <w:sz w:val="16"/>
        <w:szCs w:val="16"/>
      </w:rPr>
    </w:pPr>
    <w:r>
      <w:rPr>
        <w:b/>
        <w:bCs/>
        <w:color w:val="00A933"/>
        <w:sz w:val="16"/>
        <w:szCs w:val="16"/>
      </w:rPr>
      <w:t>Defensoria Pública do Estado do Maranhão – DPE/MA – Núcleo Regional de Grajaú/MA</w:t>
    </w:r>
  </w:p>
  <w:p>
    <w:pPr>
      <w:pStyle w:val="Rodap"/>
      <w:numPr>
        <w:ilvl w:val="0"/>
        <w:numId w:val="0"/>
      </w:numPr>
      <w:spacing w:before="0" w:after="0"/>
      <w:ind w:left="0" w:hanging="0"/>
      <w:jc w:val="center"/>
      <w:outlineLvl w:val="4"/>
      <w:rPr>
        <w:rFonts w:ascii="Arial" w:hAnsi="Arial" w:cs="Arial"/>
        <w:i/>
        <w:i/>
        <w:iCs/>
        <w:sz w:val="16"/>
        <w:szCs w:val="16"/>
      </w:rPr>
    </w:pPr>
    <w:r>
      <w:rPr>
        <w:rFonts w:cs="Arial" w:ascii="Arial" w:hAnsi="Arial"/>
        <w:b/>
        <w:bCs/>
        <w:i/>
        <w:iCs/>
        <w:color w:val="00A933"/>
        <w:sz w:val="16"/>
        <w:szCs w:val="16"/>
        <w:lang w:val="pt-BR" w:eastAsia="pt-BR"/>
      </w:rPr>
      <w:t xml:space="preserve">Av.Antônio Borges, S/N, Bairro Trizidela, Grajaú-MA – – </w:t>
    </w:r>
    <w:hyperlink r:id="rId1">
      <w:r>
        <w:rPr>
          <w:rStyle w:val="LinkdaInternet"/>
          <w:rFonts w:cs="Arial" w:ascii="Arial" w:hAnsi="Arial"/>
          <w:b/>
          <w:bCs/>
          <w:i/>
          <w:iCs/>
          <w:color w:val="00A933"/>
          <w:sz w:val="16"/>
          <w:szCs w:val="16"/>
          <w:lang w:val="pt-BR" w:eastAsia="pt-BR"/>
        </w:rPr>
        <w:t>nucleo</w:t>
      </w:r>
    </w:hyperlink>
    <w:hyperlink r:id="rId2">
      <w:r>
        <w:rPr>
          <w:rStyle w:val="LinkdaInternet"/>
          <w:rFonts w:cs="Arial" w:ascii="Arial" w:hAnsi="Arial"/>
          <w:b/>
          <w:bCs/>
          <w:i/>
          <w:iCs/>
          <w:color w:val="00A933"/>
          <w:sz w:val="16"/>
          <w:szCs w:val="16"/>
          <w:lang w:val="pt-BR" w:eastAsia="pt-BR"/>
        </w:rPr>
        <w:t>grajau</w:t>
      </w:r>
    </w:hyperlink>
    <w:hyperlink r:id="rId3">
      <w:r>
        <w:rPr>
          <w:rStyle w:val="LinkdaInternet"/>
          <w:rFonts w:cs="Arial" w:ascii="Arial" w:hAnsi="Arial"/>
          <w:b/>
          <w:bCs/>
          <w:i/>
          <w:iCs/>
          <w:color w:val="00A933"/>
          <w:sz w:val="16"/>
          <w:szCs w:val="16"/>
          <w:lang w:val="pt-BR" w:eastAsia="pt-BR"/>
        </w:rPr>
        <w:t>@ma.def.br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hanging="0"/>
      <w:jc w:val="center"/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page">
            <wp:align>center</wp:align>
          </wp:positionH>
          <wp:positionV relativeFrom="paragraph">
            <wp:posOffset>-383540</wp:posOffset>
          </wp:positionV>
          <wp:extent cx="1767205" cy="130429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68" t="16597" r="8776" b="18706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130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  <w:t>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38af"/>
    <w:pPr>
      <w:widowControl/>
      <w:suppressAutoHyphens w:val="true"/>
      <w:bidi w:val="0"/>
      <w:spacing w:lineRule="auto" w:line="360" w:before="0" w:after="0"/>
      <w:ind w:firstLine="1134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Standard"/>
    <w:link w:val="Ttulo1Char"/>
    <w:uiPriority w:val="9"/>
    <w:qFormat/>
    <w:rsid w:val="00ca1cab"/>
    <w:pPr>
      <w:ind w:left="446" w:hanging="167"/>
      <w:jc w:val="both"/>
      <w:textAlignment w:val="baseline"/>
      <w:outlineLvl w:val="0"/>
    </w:pPr>
    <w:rPr>
      <w:rFonts w:ascii="Arial" w:hAnsi="Arial" w:eastAsia="Arial" w:cs="Arial"/>
      <w:b/>
      <w:bCs/>
      <w:color w:val="00000A"/>
      <w:kern w:val="0"/>
      <w:sz w:val="20"/>
      <w:szCs w:val="2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PEChar" w:customStyle="1">
    <w:name w:val="DPE Char"/>
    <w:basedOn w:val="DefaultParagraphFont"/>
    <w:link w:val="DPE"/>
    <w:qFormat/>
    <w:rsid w:val="00db3f29"/>
    <w:rPr>
      <w:rFonts w:ascii="Arial" w:hAnsi="Arial"/>
      <w:b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c7c3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7c3d"/>
    <w:rPr/>
  </w:style>
  <w:style w:type="character" w:styleId="Normaltextrun" w:customStyle="1">
    <w:name w:val="normaltextrun"/>
    <w:qFormat/>
    <w:rsid w:val="00f251ed"/>
    <w:rPr/>
  </w:style>
  <w:style w:type="character" w:styleId="Eop" w:customStyle="1">
    <w:name w:val="eop"/>
    <w:qFormat/>
    <w:rsid w:val="00f251ed"/>
    <w:rPr/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307cee"/>
    <w:rPr>
      <w:rFonts w:ascii="Arial" w:hAnsi="Arial" w:eastAsia="Times New Roman" w:cs="Arial"/>
      <w:sz w:val="24"/>
      <w:szCs w:val="20"/>
      <w:lang w:eastAsia="zh-C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307ce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d79ba"/>
    <w:rPr>
      <w:rFonts w:ascii="Segoe UI" w:hAnsi="Segoe UI" w:cs="Segoe UI"/>
      <w:sz w:val="18"/>
      <w:szCs w:val="18"/>
    </w:rPr>
  </w:style>
  <w:style w:type="character" w:styleId="LinkdaInternet">
    <w:name w:val="Link da Internet"/>
    <w:basedOn w:val="DefaultParagraphFont"/>
    <w:uiPriority w:val="99"/>
    <w:unhideWhenUsed/>
    <w:rsid w:val="00db3f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3f29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ca1cab"/>
    <w:rPr>
      <w:rFonts w:ascii="Arial" w:hAnsi="Arial" w:eastAsia="Arial" w:cs="Arial"/>
      <w:b/>
      <w:bCs/>
      <w:color w:val="00000A"/>
      <w:sz w:val="20"/>
      <w:szCs w:val="20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307cee"/>
    <w:pPr>
      <w:suppressAutoHyphens w:val="true"/>
      <w:spacing w:lineRule="auto" w:line="240" w:before="0" w:after="120"/>
      <w:ind w:hanging="0"/>
      <w:jc w:val="left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PE" w:customStyle="1">
    <w:name w:val="DPE"/>
    <w:basedOn w:val="Normal"/>
    <w:link w:val="DPEChar"/>
    <w:autoRedefine/>
    <w:qFormat/>
    <w:rsid w:val="00db3f29"/>
    <w:pPr>
      <w:ind w:hanging="0"/>
    </w:pPr>
    <w:rPr>
      <w:rFonts w:ascii="Arial" w:hAnsi="Arial"/>
      <w:b/>
      <w:bCs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c7c3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nhideWhenUsed/>
    <w:rsid w:val="004c7c3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qFormat/>
    <w:rsid w:val="00f938af"/>
    <w:pPr>
      <w:suppressAutoHyphens w:val="true"/>
      <w:spacing w:before="100" w:after="100"/>
    </w:pPr>
    <w:rPr>
      <w:sz w:val="24"/>
    </w:rPr>
  </w:style>
  <w:style w:type="paragraph" w:styleId="ListParagraph">
    <w:name w:val="List Paragraph"/>
    <w:basedOn w:val="Normal"/>
    <w:uiPriority w:val="34"/>
    <w:qFormat/>
    <w:rsid w:val="00f938af"/>
    <w:pPr>
      <w:spacing w:before="0" w:after="0"/>
      <w:ind w:left="720" w:firstLine="1134"/>
      <w:contextualSpacing/>
    </w:pPr>
    <w:rPr/>
  </w:style>
  <w:style w:type="paragraph" w:styleId="Paragraph" w:customStyle="1">
    <w:name w:val="paragraph"/>
    <w:basedOn w:val="Normal"/>
    <w:qFormat/>
    <w:rsid w:val="00f251ed"/>
    <w:pPr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341be7"/>
    <w:pPr>
      <w:widowControl w:val="false"/>
      <w:suppressAutoHyphens w:val="true"/>
      <w:bidi w:val="0"/>
      <w:spacing w:lineRule="auto" w:line="240" w:before="0" w:after="0"/>
      <w:ind w:hanging="0"/>
      <w:jc w:val="left"/>
    </w:pPr>
    <w:rPr>
      <w:rFonts w:ascii="Times" w:hAnsi="Times" w:eastAsia="Segoe UI" w:cs="Tahoma"/>
      <w:color w:val="000000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79b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Standard"/>
    <w:qFormat/>
    <w:rsid w:val="00ca1cab"/>
    <w:pPr>
      <w:spacing w:before="35" w:after="0"/>
      <w:ind w:left="44" w:hanging="0"/>
      <w:jc w:val="center"/>
      <w:textAlignment w:val="baseline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grajau@ma.def.br" TargetMode="External"/><Relationship Id="rId2" Type="http://schemas.openxmlformats.org/officeDocument/2006/relationships/hyperlink" Target="mailto:nucleograjau@ma.def.br" TargetMode="External"/><Relationship Id="rId3" Type="http://schemas.openxmlformats.org/officeDocument/2006/relationships/hyperlink" Target="mailto:nucleograjau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FAEE-103B-4F78-9867-37E1510C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LibreOffice/7.1.4.2$Windows_X86_64 LibreOffice_project/a529a4fab45b75fefc5b6226684193eb000654f6</Application>
  <AppVersion>15.0000</AppVersion>
  <Pages>14</Pages>
  <Words>2347</Words>
  <Characters>13368</Characters>
  <CharactersWithSpaces>15571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2020-11-13T13:24:00Z</dcterms:created>
  <dc:creator>Jéssica Oliveira</dc:creator>
  <dc:description/>
  <dc:language>pt-BR</dc:language>
  <cp:lastModifiedBy/>
  <dcterms:modified xsi:type="dcterms:W3CDTF">2021-07-14T14:57:30Z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