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</w:p>
    <w:p>
      <w:pPr>
        <w:pStyle w:val="Normal"/>
        <w:jc w:val="both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EDITAL 003/2021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</w:t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SUBDEFENSOR PÚBLICO GERAL DO ESTADO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DO MARANHÃO,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MARANHÃO,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5"/>
        </w:numPr>
        <w:spacing w:lineRule="auto" w:line="276"/>
        <w:ind w:left="0" w:hanging="0"/>
        <w:jc w:val="both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Ttulo1"/>
        <w:keepNext w:val="false"/>
        <w:widowControl w:val="false"/>
        <w:numPr>
          <w:ilvl w:val="0"/>
          <w:numId w:val="2"/>
        </w:numPr>
        <w:spacing w:lineRule="auto" w:line="276"/>
        <w:ind w:left="0" w:hanging="0"/>
        <w:jc w:val="both"/>
        <w:rPr>
          <w:b w:val="false"/>
          <w:b w:val="false"/>
          <w:sz w:val="24"/>
        </w:rPr>
      </w:pPr>
      <w:r>
        <w:rPr>
          <w:sz w:val="24"/>
        </w:rPr>
        <w:t>Art. 1º -</w:t>
      </w:r>
      <w:r>
        <w:rPr>
          <w:b w:val="false"/>
          <w:sz w:val="24"/>
        </w:rPr>
        <w:t xml:space="preserve"> </w:t>
      </w:r>
      <w:r>
        <w:rPr>
          <w:sz w:val="24"/>
        </w:rPr>
        <w:t xml:space="preserve">RETIFICAR </w:t>
      </w:r>
      <w:r>
        <w:rPr>
          <w:b w:val="false"/>
          <w:bCs w:val="false"/>
          <w:sz w:val="24"/>
        </w:rPr>
        <w:t>o</w:t>
      </w:r>
      <w:r>
        <w:rPr>
          <w:sz w:val="24"/>
        </w:rPr>
        <w:t xml:space="preserve"> EDITAL DE ABERTURA</w:t>
      </w:r>
      <w:r>
        <w:rPr>
          <w:b w:val="false"/>
          <w:bCs w:val="false"/>
          <w:sz w:val="24"/>
        </w:rPr>
        <w:t xml:space="preserve"> </w:t>
      </w:r>
      <w:r>
        <w:rPr>
          <w:b w:val="false"/>
          <w:sz w:val="24"/>
        </w:rPr>
        <w:t xml:space="preserve">para incluir no </w:t>
      </w:r>
      <w:r>
        <w:rPr>
          <w:sz w:val="24"/>
        </w:rPr>
        <w:t xml:space="preserve">ANEXO I, </w:t>
      </w:r>
      <w:r>
        <w:rPr>
          <w:b w:val="false"/>
          <w:sz w:val="24"/>
        </w:rPr>
        <w:t>referente ao</w:t>
      </w:r>
      <w:r>
        <w:rPr>
          <w:sz w:val="24"/>
        </w:rPr>
        <w:t xml:space="preserve"> </w:t>
      </w:r>
      <w:r>
        <w:rPr>
          <w:bCs w:val="false"/>
          <w:sz w:val="24"/>
        </w:rPr>
        <w:t xml:space="preserve">CONTEÚDO PROGRAMÁTICO, </w:t>
      </w:r>
      <w:r>
        <w:rPr>
          <w:b w:val="false"/>
          <w:sz w:val="24"/>
        </w:rPr>
        <w:t>o que segue: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LÍNGUA PORTUGUESA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etexto31"/>
        <w:numPr>
          <w:ilvl w:val="0"/>
          <w:numId w:val="4"/>
        </w:numPr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nhecimento gramatical de acordo com o padrão culto da língua. 2. Fonologia e ortografia oficial. 3. Acentuação gráfica. 4. Flexão nominal e verbal. 5. Emprego das classes de palavras. 6. Pronome: emprego, formas de tratamento e colocação. 7. Verbos: conjugação e vozes, regulares, irregulares e impessoais. 8. Concordância verbal. 9. Crase. 10. Pontuação. 11. Sintaxe da oração e do período. 12. Regência nominal e verbal. 13. Semântica.  14. Morfologia. 15. Interpretação de texto</w:t>
      </w:r>
    </w:p>
    <w:p>
      <w:pPr>
        <w:pStyle w:val="Corpodetexto31"/>
        <w:ind w:left="720"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 e do DOE/MA.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PT"/>
        </w:rPr>
        <w:t>São Luís, 19 de julho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1"/>
          <w:numId w:val="6"/>
        </w:numPr>
        <w:ind w:left="0" w:hanging="0"/>
        <w:jc w:val="center"/>
        <w:rPr>
          <w:sz w:val="24"/>
          <w:szCs w:val="24"/>
        </w:rPr>
      </w:pPr>
      <w:r>
        <w:rPr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sz w:val="24"/>
          <w:szCs w:val="24"/>
        </w:rPr>
        <w:br/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spacing w:before="0" w:after="240"/>
        <w:rPr>
          <w:rFonts w:ascii="Times New Roman" w:hAnsi="Times New Roman"/>
          <w:b/>
          <w:b/>
          <w:sz w:val="22"/>
          <w:szCs w:val="22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2105025</wp:posOffset>
          </wp:positionH>
          <wp:positionV relativeFrom="paragraph">
            <wp:posOffset>-57785</wp:posOffset>
          </wp:positionV>
          <wp:extent cx="980440" cy="675005"/>
          <wp:effectExtent l="0" t="0" r="0" b="0"/>
          <wp:wrapNone/>
          <wp:docPr id="1" name="Imagem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lvl w:ilvl="0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3cdc"/>
    <w:pPr>
      <w:widowControl/>
      <w:suppressAutoHyphens w:val="true"/>
      <w:bidi w:val="0"/>
      <w:spacing w:before="0" w:after="0"/>
      <w:jc w:val="left"/>
    </w:pPr>
    <w:rPr>
      <w:rFonts w:eastAsia="SimSun" w:cs="Times New Roman" w:ascii="Calibri" w:hAnsi="Calibri" w:asciiTheme="minorHAnsi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"/>
    <w:next w:val="Normal"/>
    <w:link w:val="Ttulo1Char"/>
    <w:qFormat/>
    <w:rsid w:val="00593cdc"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eastAsia="Times New Roman"/>
      <w:b/>
      <w:bCs/>
      <w:w w:val="105"/>
      <w:sz w:val="18"/>
      <w:szCs w:val="24"/>
      <w:lang w:val="pt-BR"/>
    </w:rPr>
  </w:style>
  <w:style w:type="paragraph" w:styleId="Ttulo2">
    <w:name w:val="Heading 2"/>
    <w:basedOn w:val="Normal"/>
    <w:next w:val="Normal"/>
    <w:link w:val="Ttulo2Char"/>
    <w:qFormat/>
    <w:rsid w:val="00593cdc"/>
    <w:pPr>
      <w:keepNext w:val="true"/>
      <w:numPr>
        <w:ilvl w:val="1"/>
        <w:numId w:val="1"/>
      </w:numPr>
      <w:ind w:left="0" w:firstLine="1080"/>
      <w:outlineLvl w:val="1"/>
    </w:pPr>
    <w:rPr>
      <w:rFonts w:ascii="Times New Roman" w:hAnsi="Times New Roman" w:eastAsia="Times New Roman"/>
      <w:b/>
      <w:bCs/>
      <w:sz w:val="28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593cdc"/>
    <w:rPr>
      <w:rFonts w:ascii="Times New Roman" w:hAnsi="Times New Roman" w:eastAsia="Times New Roman" w:cs="Times New Roman"/>
      <w:b/>
      <w:bCs/>
      <w:w w:val="105"/>
      <w:sz w:val="18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593cdc"/>
    <w:rPr>
      <w:rFonts w:ascii="Times New Roman" w:hAnsi="Times New Roman" w:eastAsia="Times New Roman" w:cs="Times New Roman"/>
      <w:b/>
      <w:bCs/>
      <w:sz w:val="28"/>
      <w:szCs w:val="20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b62cea"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cea"/>
    <w:rPr>
      <w:rFonts w:ascii="Calibri" w:hAnsi="Calibri" w:eastAsia="SimSun" w:cs="Times New Roman"/>
      <w:sz w:val="20"/>
      <w:szCs w:val="20"/>
      <w:lang w:val="en-US"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cea"/>
    <w:rPr>
      <w:rFonts w:ascii="Calibri" w:hAnsi="Calibri" w:eastAsia="SimSun" w:cs="Times New Roman"/>
      <w:sz w:val="20"/>
      <w:szCs w:val="20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593cdc"/>
    <w:pPr>
      <w:jc w:val="both"/>
    </w:pPr>
    <w:rPr>
      <w:rFonts w:ascii="Arial" w:hAnsi="Arial" w:eastAsia="Times New Roman" w:cs="Arial"/>
      <w:sz w:val="22"/>
      <w:lang w:val="pt-PT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ce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2cea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178</Words>
  <Characters>957</Characters>
  <CharactersWithSpaces>1130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2021-07-19T12:32:00Z</dcterms:created>
  <dc:creator>Conta da Microsoft</dc:creator>
  <dc:description/>
  <dc:language>pt-BR</dc:language>
  <cp:lastModifiedBy>Conta da Microsoft</cp:lastModifiedBy>
  <dcterms:modified xsi:type="dcterms:W3CDTF">2021-07-19T12:32:00Z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