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11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INFORMÁTICA/SUPORTE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04 a 06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>São Luís (MA), 0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3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Agost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887" w:leader="none"/>
              </w:tabs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kern w:val="0"/>
                <w:sz w:val="22"/>
                <w:szCs w:val="22"/>
                <w:highlight w:val="white"/>
                <w:lang w:val="pt-BR" w:eastAsia="en-US" w:bidi="ar-SA"/>
              </w:rPr>
              <w:t>JOÃO MATEUS SILVA LOPES</w:t>
            </w: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 xml:space="preserve"> – TURNO MATUTINO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VALTER PEREIRA OLIVEIRA</w:t>
            </w: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</w:rPr>
              <w:t xml:space="preserve"> – TURNO VESPERTINO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LibreOffice/7.1.4.2$Windows_X86_64 LibreOffice_project/a529a4fab45b75fefc5b6226684193eb000654f6</Application>
  <AppVersion>15.0000</AppVersion>
  <DocSecurity>0</DocSecurity>
  <Pages>2</Pages>
  <Words>207</Words>
  <Characters>1202</Characters>
  <CharactersWithSpaces>1424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2021-08-03T09:59:54Z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