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dissertativa será publicado dia 02/06/2021;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31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>
    <w:name w:val="Link da Internet"/>
    <w:basedOn w:val="DefaultParagraphFont"/>
    <w:uiPriority w:val="99"/>
    <w:unhideWhenUsed/>
    <w:rsid w:val="00e0752c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55432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54324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</Pages>
  <Words>116</Words>
  <Characters>599</Characters>
  <CharactersWithSpaces>717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2021-05-31T16:47:00Z</dcterms:created>
  <dc:creator>Lorena Fernandes</dc:creator>
  <dc:description/>
  <dc:language>pt-BR</dc:language>
  <cp:lastModifiedBy>Conta da Microsoft</cp:lastModifiedBy>
  <cp:lastPrinted>2021-05-31T16:47:00Z</cp:lastPrinted>
  <dcterms:modified xsi:type="dcterms:W3CDTF">2021-05-31T16:47:00Z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