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cs="Times New Roman"/>
          <w:color w:val="000000" w:themeColor="text1"/>
          <w:szCs w:val="24"/>
          <w:u w:val="single"/>
        </w:rPr>
      </w:pPr>
      <w:r>
        <w:rPr>
          <w:rFonts w:cs="Times New Roman"/>
          <w:color w:val="000000" w:themeColor="text1"/>
          <w:szCs w:val="24"/>
          <w:u w:val="single"/>
        </w:rPr>
        <w:t>EDITAL Nº 01/2021</w:t>
      </w:r>
    </w:p>
    <w:p>
      <w:pPr>
        <w:pStyle w:val="Ttulo1"/>
        <w:spacing w:before="94" w:after="0"/>
        <w:ind w:left="-142" w:right="195" w:hanging="20"/>
        <w:jc w:val="center"/>
        <w:rPr>
          <w:rFonts w:cs="Times New Roman"/>
          <w:color w:val="000000" w:themeColor="text1"/>
          <w:szCs w:val="24"/>
          <w:u w:val="single"/>
        </w:rPr>
      </w:pPr>
      <w:r>
        <w:rPr>
          <w:rFonts w:cs="Times New Roman"/>
          <w:color w:val="000000" w:themeColor="text1"/>
          <w:szCs w:val="24"/>
          <w:u w:val="single"/>
        </w:rPr>
      </w:r>
    </w:p>
    <w:p>
      <w:pPr>
        <w:pStyle w:val="Normal"/>
        <w:spacing w:lineRule="auto" w:line="240" w:before="240" w:after="160"/>
        <w:ind w:firstLine="279"/>
        <w:jc w:val="center"/>
        <w:rPr>
          <w:rFonts w:ascii="Times New Roman" w:hAnsi="Times New Roman" w:eastAsia="Arial" w:cs="Arial"/>
          <w:b/>
          <w:b/>
          <w:bCs/>
          <w:color w:val="000000" w:themeColor="text1"/>
          <w:sz w:val="24"/>
          <w:szCs w:val="24"/>
          <w:u w:val="single"/>
          <w:lang w:eastAsia="pt-PT" w:bidi="pt-PT"/>
        </w:rPr>
      </w:pPr>
      <w:r>
        <w:rPr>
          <w:rFonts w:eastAsia="Arial" w:cs="Arial" w:ascii="Times New Roman" w:hAnsi="Times New Roman"/>
          <w:b/>
          <w:bCs/>
          <w:color w:val="000000" w:themeColor="text1"/>
          <w:sz w:val="24"/>
          <w:szCs w:val="24"/>
          <w:u w:val="single"/>
          <w:lang w:eastAsia="pt-PT" w:bidi="pt-PT"/>
        </w:rPr>
        <w:t>I PROCESSO SELETIVO PARA ESTÁGIO DE PÓS-GRADUAÇÃO EM DIREITO PARA ATUAÇÃO NOS NÚCLEOS DA FAMÍLIA E REGISTROS PÚBLICOS, NÚCLEOS CÍVEIS E DA FAZENDA PÚBLICA, NÚCLEO DA SAÚDE, NÚCLEO DE DIREITOS HUMANOS e NÚCLEO DO ITAQUI–BACANGA.</w:t>
      </w:r>
    </w:p>
    <w:p>
      <w:pPr>
        <w:pStyle w:val="Normal"/>
        <w:spacing w:lineRule="auto" w:line="240" w:before="240" w:after="160"/>
        <w:ind w:firstLine="279"/>
        <w:jc w:val="both"/>
        <w:rPr>
          <w:rFonts w:ascii="Times New Roman" w:hAnsi="Times New Roman"/>
          <w:b/>
          <w:b/>
          <w:bCs/>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SUBDEFENSOR PÚBLICO-GERAL DO ESTADO</w:t>
      </w:r>
      <w:r>
        <w:rPr>
          <w:rFonts w:ascii="Times New Roman" w:hAnsi="Times New Roman"/>
          <w:color w:val="000000" w:themeColor="text1"/>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10/05/2021 a 14/05/2021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rPr>
        <w:t>I PROCESSO SELETIVO PARA ESTÁGIO DE PÓS-GRADUAÇÃO EM DIREITO PARA ATUAÇÃO NOS NÚCLEOS DA FAMÍLIA E REGISTROS PÚBLICOS, NÚCLEOS CÍVEIS E DA FAZENDA PÚBLICA, NÚCLEO DA SAÚDE, NÚCLEO DE DIREITOS HUMANOS e NÚCLEO DO ITAQUI–BACANGA</w:t>
      </w:r>
      <w:r>
        <w:rPr>
          <w:rFonts w:ascii="Times New Roman" w:hAnsi="Times New Roman"/>
          <w:color w:val="000000" w:themeColor="text1"/>
          <w:sz w:val="24"/>
          <w:szCs w:val="24"/>
        </w:rPr>
        <w:t>, para formação de cadastro de reserva, das quais 10% das vagas se destinam a pessoas com deficiência, nos termos do inciso VIII do art. 37 da CF,  obedecendo às seguintes disposições:</w:t>
      </w:r>
    </w:p>
    <w:p>
      <w:pPr>
        <w:pStyle w:val="Ttulo1"/>
        <w:numPr>
          <w:ilvl w:val="0"/>
          <w:numId w:val="8"/>
        </w:numPr>
        <w:rPr>
          <w:color w:val="000000" w:themeColor="text1"/>
        </w:rPr>
      </w:pPr>
      <w:r>
        <w:rPr>
          <w:color w:val="000000" w:themeColor="text1"/>
        </w:rPr>
        <w:t>DAS DISPOSIÇÕES PRELIMINARES</w:t>
      </w:r>
    </w:p>
    <w:p>
      <w:pPr>
        <w:pStyle w:val="Corpodotexto"/>
        <w:spacing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8"/>
        </w:numPr>
        <w:tabs>
          <w:tab w:val="clear" w:pos="708"/>
          <w:tab w:val="left" w:pos="689" w:leader="none"/>
        </w:tabs>
        <w:spacing w:lineRule="auto" w:line="240"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bCs/>
          <w:color w:val="000000" w:themeColor="text1"/>
          <w:sz w:val="24"/>
          <w:szCs w:val="24"/>
          <w:lang w:eastAsia="pt-PT" w:bidi="pt-PT"/>
        </w:rPr>
        <w:t>PORTARIA N</w:t>
      </w:r>
      <w:r>
        <w:rPr>
          <w:rFonts w:eastAsia="Arial" w:ascii="Times New Roman" w:hAnsi="Times New Roman"/>
          <w:b/>
          <w:bCs/>
          <w:color w:val="000000" w:themeColor="text1"/>
          <w:sz w:val="24"/>
          <w:szCs w:val="24"/>
          <w:u w:val="single"/>
          <w:vertAlign w:val="superscript"/>
          <w:lang w:eastAsia="pt-PT" w:bidi="pt-PT"/>
        </w:rPr>
        <w:t>º</w:t>
      </w:r>
      <w:r>
        <w:rPr>
          <w:rFonts w:eastAsia="Arial" w:ascii="Times New Roman" w:hAnsi="Times New Roman"/>
          <w:b/>
          <w:bCs/>
          <w:color w:val="000000" w:themeColor="text1"/>
          <w:sz w:val="24"/>
          <w:szCs w:val="24"/>
          <w:lang w:eastAsia="pt-PT" w:bidi="pt-PT"/>
        </w:rPr>
        <w:t> 407 - DPGE</w:t>
      </w:r>
      <w:r>
        <w:rPr>
          <w:rFonts w:eastAsia="Arial" w:ascii="Times New Roman" w:hAnsi="Times New Roman"/>
          <w:color w:val="000000" w:themeColor="text1"/>
          <w:sz w:val="24"/>
          <w:szCs w:val="24"/>
          <w:lang w:val="pt-PT" w:eastAsia="pt-PT" w:bidi="pt-PT"/>
        </w:rPr>
        <w:t>, de 30 de abril de 2021,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8"/>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8"/>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spacing w:before="3" w:after="0"/>
        <w:ind w:left="284"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bCs/>
          <w:color w:val="000000" w:themeColor="text1"/>
          <w:sz w:val="24"/>
          <w:szCs w:val="24"/>
          <w:lang w:val="pt-BR"/>
        </w:rPr>
        <w:t xml:space="preserve">I PROCESSO SELETIVO PARA ESTÁGIO DE PÓS-GRADUAÇÃO EM DIREITO PARA ATUAÇÃO NOS NÚCLEOS DA FAMÍLIA E REGISTROS PÚBLICOS, NÚCLEOS CÍVEIS E DA FAZENDA PÚBLICA, NÚCLEO DA SAÚDE, NÚCLEO DE DIREITOS HUMANOS e NÚCLEO DO ITAQUI–BACANGA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ind w:left="284"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ind w:left="284"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NoSpacing"/>
        <w:numPr>
          <w:ilvl w:val="1"/>
          <w:numId w:val="8"/>
        </w:numPr>
        <w:spacing w:before="120" w:after="120"/>
        <w:ind w:left="792" w:hanging="508"/>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hyperlink r:id="rId2">
        <w:r>
          <w:rPr>
            <w:rStyle w:val="LinkdaInternet"/>
            <w:rFonts w:ascii="Times New Roman" w:hAnsi="Times New Roman"/>
            <w:color w:val="000000" w:themeColor="text1"/>
            <w:sz w:val="24"/>
            <w:szCs w:val="24"/>
            <w:lang w:val="pt-BR"/>
          </w:rPr>
          <w:t>http://defensoria.ma.def.br/seletivo</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8"/>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as partes.</w:t>
      </w:r>
      <w:r>
        <w:rPr>
          <w:rFonts w:ascii="Times New Roman" w:hAnsi="Times New Roman"/>
          <w:color w:val="000000" w:themeColor="text1"/>
          <w:sz w:val="24"/>
          <w:szCs w:val="24"/>
        </w:rPr>
        <w:t xml:space="preserve"> </w:t>
      </w:r>
    </w:p>
    <w:p>
      <w:pPr>
        <w:pStyle w:val="Corpodotexto"/>
        <w:numPr>
          <w:ilvl w:val="1"/>
          <w:numId w:val="8"/>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spacing w:before="3" w:after="0"/>
        <w:ind w:left="792"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0"/>
          <w:numId w:val="1"/>
        </w:numPr>
        <w:spacing w:before="3" w:after="24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ANÁLISE CURRICULAR</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color w:val="000000" w:themeColor="text1"/>
          <w:sz w:val="24"/>
          <w:szCs w:val="24"/>
          <w:lang w:val="pt-BR" w:eastAsia="en-US" w:bidi="ar-SA"/>
        </w:rPr>
        <w:t>CARÁTER</w:t>
      </w:r>
      <w:r>
        <w:rPr>
          <w:rFonts w:eastAsia="Calibri" w:cs="Times New Roman" w:ascii="Times New Roman" w:hAnsi="Times New Roman"/>
          <w:color w:val="000000" w:themeColor="text1"/>
          <w:sz w:val="24"/>
          <w:szCs w:val="24"/>
          <w:lang w:val="pt-BR" w:eastAsia="en-US" w:bidi="ar-SA"/>
        </w:rPr>
        <w:t xml:space="preserve">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1"/>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PROVA DISSERTATIVA,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w:t>
      </w:r>
      <w:r>
        <w:rPr>
          <w:rFonts w:cs="Times New Roman" w:ascii="Times New Roman" w:hAnsi="Times New Roman"/>
          <w:b/>
          <w:bCs/>
          <w:color w:val="000000" w:themeColor="text1"/>
          <w:sz w:val="24"/>
          <w:szCs w:val="24"/>
          <w:lang w:val="pt-BR"/>
        </w:rPr>
        <w:t>CRONOGRAMA</w:t>
      </w:r>
      <w:r>
        <w:rPr>
          <w:rFonts w:cs="Times New Roman" w:ascii="Times New Roman" w:hAnsi="Times New Roman"/>
          <w:color w:val="000000" w:themeColor="text1"/>
          <w:sz w:val="24"/>
          <w:szCs w:val="24"/>
          <w:lang w:val="pt-BR"/>
        </w:rPr>
        <w:t xml:space="preserve"> do Processo Seletivo está disposto no </w:t>
      </w:r>
      <w:r>
        <w:rPr>
          <w:rFonts w:cs="Times New Roman" w:ascii="Times New Roman" w:hAnsi="Times New Roman"/>
          <w:b/>
          <w:bCs/>
          <w:color w:val="000000" w:themeColor="text1"/>
          <w:sz w:val="24"/>
          <w:szCs w:val="24"/>
          <w:lang w:val="pt-BR"/>
        </w:rPr>
        <w:t>ANEXO I</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spacing w:before="3" w:after="0"/>
        <w:ind w:left="1129"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spacing w:before="3"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w:t>
      </w:r>
      <w:r>
        <w:rPr>
          <w:rFonts w:cs="Times New Roman" w:ascii="Times New Roman" w:hAnsi="Times New Roman"/>
          <w:b/>
          <w:bCs/>
          <w:color w:val="000000" w:themeColor="text1"/>
          <w:sz w:val="24"/>
          <w:szCs w:val="24"/>
          <w:lang w:val="pt-BR"/>
        </w:rPr>
        <w:t>CONTEÚDO PROGRAMÁTICO</w:t>
      </w:r>
      <w:r>
        <w:rPr>
          <w:rFonts w:cs="Times New Roman" w:ascii="Times New Roman" w:hAnsi="Times New Roman"/>
          <w:color w:val="000000" w:themeColor="text1"/>
          <w:sz w:val="24"/>
          <w:szCs w:val="24"/>
          <w:lang w:val="pt-BR"/>
        </w:rPr>
        <w:t xml:space="preserve"> está disposto no </w:t>
      </w:r>
      <w:r>
        <w:rPr>
          <w:rFonts w:cs="Times New Roman" w:ascii="Times New Roman" w:hAnsi="Times New Roman"/>
          <w:b/>
          <w:bCs/>
          <w:color w:val="000000" w:themeColor="text1"/>
          <w:sz w:val="24"/>
          <w:szCs w:val="24"/>
          <w:lang w:val="pt-BR"/>
        </w:rPr>
        <w:t>ANEXO II</w:t>
      </w:r>
      <w:r>
        <w:rPr>
          <w:rFonts w:cs="Times New Roman" w:ascii="Times New Roman" w:hAnsi="Times New Roman"/>
          <w:color w:val="000000" w:themeColor="text1"/>
          <w:sz w:val="24"/>
          <w:szCs w:val="24"/>
          <w:lang w:val="pt-BR"/>
        </w:rPr>
        <w:t xml:space="preserve"> deste edital. </w:t>
      </w:r>
    </w:p>
    <w:p>
      <w:pPr>
        <w:pStyle w:val="Ttulo1"/>
        <w:numPr>
          <w:ilvl w:val="0"/>
          <w:numId w:val="8"/>
        </w:numPr>
        <w:rPr>
          <w:color w:val="000000" w:themeColor="text1"/>
        </w:rPr>
      </w:pPr>
      <w:r>
        <w:rPr>
          <w:color w:val="000000" w:themeColor="text1"/>
        </w:rPr>
        <w:t>DAS VAGAS, LOTAÇÃO E ATIVIDADES DESENVOLVIDAS</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bCs/>
          <w:color w:val="000000" w:themeColor="text1"/>
          <w:sz w:val="24"/>
          <w:szCs w:val="24"/>
        </w:rPr>
        <w:t>I PROCESSO SELETIVO PARA ESTÁGIO DE PÓS-GRADUAÇÃO EM DIREITO PARA ATUAÇÃO NOS NÚCLEOS DA FAMÍLIA E REGISTROS PÚBLICOS, NÚCLEOS CÍVEIS E DA FAZENDA PÚBLICA, NÚCLEO DA SAÚDE, NÚCLEO DE DIREITOS HUMANOS e NÚCLEO DO ITAQUI–BACANGA</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60ª</w:t>
      </w:r>
      <w:r>
        <w:rPr>
          <w:rFonts w:ascii="Times New Roman" w:hAnsi="Times New Roman"/>
          <w:b/>
          <w:bCs/>
          <w:color w:val="000000" w:themeColor="text1"/>
          <w:sz w:val="24"/>
          <w:szCs w:val="24"/>
        </w:rPr>
        <w:t xml:space="preserve"> (sexagésima) colocação</w:t>
      </w:r>
      <w:r>
        <w:rPr>
          <w:rFonts w:ascii="Times New Roman" w:hAnsi="Times New Roman"/>
          <w:color w:val="000000" w:themeColor="text1"/>
          <w:sz w:val="24"/>
          <w:szCs w:val="24"/>
        </w:rPr>
        <w:t>, para estagiários de Pós-Graduação em Direito.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Ttulo1"/>
        <w:numPr>
          <w:ilvl w:val="0"/>
          <w:numId w:val="8"/>
        </w:numPr>
        <w:rPr>
          <w:color w:val="000000" w:themeColor="text1"/>
        </w:rPr>
      </w:pPr>
      <w:r>
        <w:rPr>
          <w:color w:val="000000" w:themeColor="text1"/>
        </w:rPr>
        <w:t>DA REMUNERAÇÃO E DA CARGA-HORÁRIA</w:t>
      </w:r>
    </w:p>
    <w:p>
      <w:pPr>
        <w:pStyle w:val="Corpodotexto"/>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8"/>
        </w:numPr>
        <w:tabs>
          <w:tab w:val="clear" w:pos="708"/>
          <w:tab w:val="left" w:pos="644" w:leader="none"/>
        </w:tabs>
        <w:spacing w:lineRule="auto" w:line="240" w:before="0" w:after="0"/>
        <w:ind w:left="792" w:right="116" w:hanging="4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pacing w:lineRule="auto" w:line="240" w:before="0" w:after="0"/>
        <w:ind w:left="1129" w:right="11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659" w:leader="none"/>
        </w:tabs>
        <w:spacing w:lineRule="auto" w:line="240" w:before="0" w:after="0"/>
        <w:ind w:left="792" w:right="114" w:hanging="4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629" w:leader="none"/>
        </w:tabs>
        <w:spacing w:lineRule="auto" w:line="240" w:before="0" w:after="0"/>
        <w:ind w:left="792" w:right="112" w:hanging="4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8"/>
        </w:numPr>
        <w:rPr>
          <w:color w:val="000000" w:themeColor="text1"/>
        </w:rPr>
      </w:pPr>
      <w:r>
        <w:rPr>
          <w:color w:val="000000" w:themeColor="text1"/>
        </w:rPr>
        <w:t xml:space="preserve">DAS PESSOAS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Ttulo1"/>
        <w:numPr>
          <w:ilvl w:val="0"/>
          <w:numId w:val="8"/>
        </w:numPr>
        <w:rPr>
          <w:color w:val="000000" w:themeColor="text1"/>
        </w:rPr>
      </w:pPr>
      <w:r>
        <w:rPr>
          <w:color w:val="000000" w:themeColor="text1"/>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8"/>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ascii="Times New Roman" w:hAnsi="Times New Roman"/>
            <w:color w:val="000000" w:themeColor="text1"/>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10/05/2021, a partir das 08:00 horas, até às 23:59 do dia 14/05/2021.</w:t>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color w:val="000000" w:themeColor="text1"/>
            <w:sz w:val="24"/>
            <w:szCs w:val="24"/>
          </w:rPr>
          <w:t>CLIQUE AQUI</w:t>
        </w:r>
      </w:hyperlink>
      <w:r>
        <w:rPr>
          <w:rFonts w:ascii="Times New Roman" w:hAnsi="Times New Roman"/>
          <w:bCs/>
          <w:color w:val="000000" w:themeColor="text1"/>
          <w:sz w:val="24"/>
          <w:szCs w:val="24"/>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color w:val="000000" w:themeColor="text1"/>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color w:val="000000" w:themeColor="text1"/>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40"/>
        <w:ind w:left="1140" w:hanging="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Normal"/>
        <w:spacing w:lineRule="auto" w:line="24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w:t>
      </w:r>
      <w:r>
        <w:rPr>
          <w:rFonts w:ascii="Times New Roman" w:hAnsi="Times New Roman"/>
          <w:b/>
          <w:color w:val="000000" w:themeColor="text1"/>
          <w:sz w:val="24"/>
          <w:szCs w:val="24"/>
        </w:rPr>
        <w:t>CURRÍCULO LATTES</w:t>
      </w:r>
      <w:r>
        <w:rPr>
          <w:rFonts w:ascii="Times New Roman" w:hAnsi="Times New Roman"/>
          <w:color w:val="000000" w:themeColor="text1"/>
          <w:sz w:val="24"/>
          <w:szCs w:val="24"/>
        </w:rPr>
        <w:t xml:space="preserve"> completo, extraído da plataforma lattes do CNPQ (</w:t>
      </w:r>
      <w:hyperlink r:id="rId7">
        <w:r>
          <w:rPr>
            <w:rStyle w:val="LinkdaInternet"/>
            <w:rFonts w:ascii="Times New Roman" w:hAnsi="Times New Roman"/>
            <w:color w:val="000000" w:themeColor="text1"/>
            <w:sz w:val="24"/>
            <w:szCs w:val="24"/>
          </w:rPr>
          <w:t>Clique aqui para ser direcionado para o site do CNPQ</w:t>
        </w:r>
      </w:hyperlink>
      <w:r>
        <w:rPr>
          <w:rFonts w:ascii="Times New Roman" w:hAnsi="Times New Roman"/>
          <w:color w:val="000000" w:themeColor="text1"/>
          <w:sz w:val="24"/>
          <w:szCs w:val="24"/>
        </w:rPr>
        <w:t xml:space="preserve">) com </w:t>
      </w:r>
      <w:r>
        <w:rPr>
          <w:rFonts w:ascii="Times New Roman" w:hAnsi="Times New Roman"/>
          <w:b/>
          <w:color w:val="000000" w:themeColor="text1"/>
          <w:sz w:val="24"/>
          <w:szCs w:val="24"/>
        </w:rPr>
        <w:t>COMPROVAÇÃO</w:t>
      </w:r>
      <w:r>
        <w:rPr>
          <w:rFonts w:ascii="Times New Roman" w:hAnsi="Times New Roman"/>
          <w:color w:val="000000" w:themeColor="text1"/>
          <w:sz w:val="24"/>
          <w:szCs w:val="24"/>
        </w:rPr>
        <w:t xml:space="preserve">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40"/>
        <w:ind w:left="1134" w:hanging="0"/>
        <w:jc w:val="both"/>
        <w:rPr>
          <w:rFonts w:ascii="Times New Roman" w:hAnsi="Times New Roman"/>
          <w:b/>
          <w:b/>
          <w:color w:val="000000" w:themeColor="text1"/>
          <w:sz w:val="24"/>
          <w:szCs w:val="24"/>
        </w:rPr>
      </w:pPr>
      <w:r>
        <w:rPr>
          <w:rFonts w:ascii="Times New Roman" w:hAnsi="Times New Roman"/>
          <w:color w:val="000000" w:themeColor="text1"/>
          <w:sz w:val="24"/>
          <w:szCs w:val="24"/>
        </w:rPr>
        <w:t xml:space="preserve">b.2 </w:t>
      </w:r>
      <w:r>
        <w:rPr>
          <w:rFonts w:ascii="Times New Roman" w:hAnsi="Times New Roman"/>
          <w:b/>
          <w:color w:val="000000" w:themeColor="text1"/>
          <w:sz w:val="24"/>
          <w:szCs w:val="24"/>
        </w:rPr>
        <w:t>TABELA</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 xml:space="preserve">ANEXO II) </w:t>
      </w:r>
      <w:r>
        <w:rPr>
          <w:rFonts w:ascii="Times New Roman" w:hAnsi="Times New Roman"/>
          <w:color w:val="000000" w:themeColor="text1"/>
          <w:sz w:val="24"/>
          <w:szCs w:val="24"/>
        </w:rPr>
        <w:t>com os pontos pretendidos e com indicação da página do arquivo PDF (item b.2) em que consta o documento comprobatório;</w:t>
      </w:r>
    </w:p>
    <w:p>
      <w:pPr>
        <w:pStyle w:val="Normal"/>
        <w:spacing w:lineRule="auto" w:line="24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não inclusão dos documentos relacionados nas alíneas do subitem 5.2, currículo, documentos comprobatórios ou tabela, desclassifica o candidato, mesmo que tenha feito sua inscrição no presente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bookmarkStart w:id="0" w:name="_Hlk65214593"/>
      <w:bookmarkEnd w:id="0"/>
    </w:p>
    <w:p>
      <w:pPr>
        <w:pStyle w:val="Ttulo1"/>
        <w:numPr>
          <w:ilvl w:val="0"/>
          <w:numId w:val="8"/>
        </w:numPr>
        <w:rPr>
          <w:color w:val="000000" w:themeColor="text1"/>
        </w:rPr>
      </w:pPr>
      <w:r>
        <w:rPr>
          <w:color w:val="000000" w:themeColor="text1"/>
        </w:rPr>
        <w:t>DAS ETAPAS DO PROCESSO SELETIVO</w:t>
      </w:r>
    </w:p>
    <w:p>
      <w:pPr>
        <w:pStyle w:val="ListParagraph"/>
        <w:numPr>
          <w:ilvl w:val="1"/>
          <w:numId w:val="8"/>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CURRICULAR</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PROVA DISSERTATIVA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45 (quarenta e cinco)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55 (cinquenta e cinco) pontos</w:t>
            </w:r>
          </w:p>
        </w:tc>
      </w:tr>
    </w:tbl>
    <w:p>
      <w:pPr>
        <w:pStyle w:val="Normal"/>
        <w:spacing w:lineRule="auto" w:line="240"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8"/>
        </w:numPr>
        <w:suppressAutoHyphens w:val="false"/>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8"/>
        </w:numPr>
        <w:suppressAutoHyphens w:val="false"/>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prova dissertativa;</w:t>
      </w:r>
    </w:p>
    <w:p>
      <w:pPr>
        <w:pStyle w:val="ListParagraph"/>
        <w:numPr>
          <w:ilvl w:val="1"/>
          <w:numId w:val="8"/>
        </w:numPr>
        <w:suppressAutoHyphens w:val="false"/>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w:t>
      </w:r>
      <w:r>
        <w:rPr>
          <w:rFonts w:ascii="Times New Roman" w:hAnsi="Times New Roman"/>
          <w:b/>
          <w:color w:val="000000" w:themeColor="text1"/>
          <w:sz w:val="24"/>
          <w:szCs w:val="24"/>
        </w:rPr>
        <w:t>PROVA DISSERTATIVA</w:t>
      </w:r>
      <w:r>
        <w:rPr>
          <w:rFonts w:ascii="Times New Roman" w:hAnsi="Times New Roman"/>
          <w:color w:val="000000" w:themeColor="text1"/>
          <w:sz w:val="24"/>
          <w:szCs w:val="24"/>
        </w:rPr>
        <w:t xml:space="preserve">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8"/>
        </w:numPr>
        <w:rPr>
          <w:color w:val="000000" w:themeColor="text1"/>
        </w:rPr>
      </w:pPr>
      <w:r>
        <w:rPr>
          <w:color w:val="000000" w:themeColor="text1"/>
        </w:rPr>
        <w:t>CRITÉRIOS E PONTUAÇÃO PARA AVALIAÇÃO DO CURRÍCULO</w:t>
      </w:r>
    </w:p>
    <w:p>
      <w:pPr>
        <w:pStyle w:val="Ttulo1"/>
        <w:ind w:left="360" w:hanging="0"/>
        <w:rPr>
          <w:color w:val="000000" w:themeColor="text1"/>
        </w:rPr>
      </w:pPr>
      <w:r>
        <w:rPr>
          <w:color w:val="000000" w:themeColor="text1"/>
        </w:rPr>
      </w:r>
    </w:p>
    <w:p>
      <w:pPr>
        <w:pStyle w:val="Ttulo1"/>
        <w:numPr>
          <w:ilvl w:val="1"/>
          <w:numId w:val="11"/>
        </w:numPr>
        <w:rPr>
          <w:b w:val="false"/>
          <w:b w:val="false"/>
          <w:color w:val="000000" w:themeColor="text1"/>
        </w:rPr>
      </w:pPr>
      <w:r>
        <w:rPr>
          <w:b w:val="false"/>
          <w:color w:val="000000" w:themeColor="text1"/>
        </w:rPr>
        <w:t>O processo seletivo simplificado consistirá na análise do currículo e prova dissertativa, corrigida pela comissão do processo seletivo designada pela Portaria nº 407/2021.</w:t>
      </w:r>
    </w:p>
    <w:p>
      <w:pPr>
        <w:pStyle w:val="Ttulo1"/>
        <w:ind w:left="720" w:hanging="0"/>
        <w:rPr>
          <w:b w:val="false"/>
          <w:b w:val="false"/>
          <w:color w:val="000000" w:themeColor="text1"/>
        </w:rPr>
      </w:pPr>
      <w:r>
        <w:rPr>
          <w:b w:val="false"/>
          <w:color w:val="000000" w:themeColor="text1"/>
        </w:rPr>
      </w:r>
    </w:p>
    <w:p>
      <w:pPr>
        <w:pStyle w:val="Ttulo1"/>
        <w:numPr>
          <w:ilvl w:val="1"/>
          <w:numId w:val="11"/>
        </w:numPr>
        <w:rPr>
          <w:b w:val="false"/>
          <w:b w:val="false"/>
          <w:color w:val="000000" w:themeColor="text1"/>
        </w:rPr>
      </w:pPr>
      <w:r>
        <w:rPr>
          <w:b w:val="false"/>
          <w:color w:val="000000" w:themeColor="text1"/>
        </w:rPr>
        <w:t>A avaliação do Currículo Lattes dos candidatos basear-se-á pelos critérios e pontuações a seguir:</w:t>
      </w:r>
    </w:p>
    <w:p>
      <w:pPr>
        <w:pStyle w:val="Ttulo1"/>
        <w:ind w:left="360" w:hanging="0"/>
        <w:rPr>
          <w:color w:val="000000" w:themeColor="text1"/>
        </w:rPr>
      </w:pPr>
      <w:r>
        <w:rPr>
          <w:color w:val="000000" w:themeColor="text1"/>
        </w:rPr>
      </w:r>
    </w:p>
    <w:tbl>
      <w:tblPr>
        <w:tblW w:w="9133"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Calibri" w:eastAsiaTheme="minorHAnsi"/>
                <w:color w:val="000000" w:themeColor="text1"/>
                <w:sz w:val="24"/>
                <w:szCs w:val="24"/>
              </w:rPr>
            </w:pPr>
            <w:r>
              <w:rPr>
                <w:rFonts w:eastAsia="Times New Roman" w:ascii="Times New Roman" w:hAnsi="Times New Roman"/>
                <w:color w:val="000000" w:themeColor="text1"/>
                <w:sz w:val="24"/>
                <w:szCs w:val="24"/>
                <w:lang w:eastAsia="pt-BR"/>
              </w:rPr>
              <w:t>Experiência de Estágio Jurídico Extracurricular na área Cível;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1,0 (um) ponto para cada semestre trabalhado, com limite máximo de 4,0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nas demais áreas;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para cada semestre trabalhado, com limite máximo de 3,0 (três)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Cursos de extensão/capacitação na área de Mediação e Conciliação ou Direito Civil;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1,0 (um) ponto para cada curso, com limite máximo de 5,0 (cinco)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Cursos de Extensão nas demais áreas;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0,5 (cinco décimos) ponto para cada curso, com limite máximo de 3,0 (três)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monitoria ou grupo de estudo, com limite máximo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Publicação de Artigo Jurídico, apresentação de trabalho ou banner;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artigo ou apresentação, com limite máximo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2,5 (dois pontos e cinco décimos) pontos, com limite máximo de 5,0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nível de Mestrado na área de Direito, em andamento ou finalizada:</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5,0 (cinco) pontos, com limite máximo de 5,0 (cinco) pontos;</w:t>
            </w:r>
          </w:p>
        </w:tc>
      </w:tr>
    </w:tbl>
    <w:p>
      <w:pPr>
        <w:pStyle w:val="Ttulo1"/>
        <w:ind w:left="360" w:hanging="0"/>
        <w:rPr>
          <w:color w:val="000000" w:themeColor="text1"/>
        </w:rPr>
      </w:pPr>
      <w:r>
        <w:rPr>
          <w:color w:val="000000" w:themeColor="text1"/>
        </w:rPr>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 xml:space="preserve">EXPERIÊNCIA JURÍDICA </w:t>
      </w:r>
      <w:r>
        <w:rPr>
          <w:rFonts w:ascii="Times New Roman" w:hAnsi="Times New Roman"/>
          <w:color w:val="000000" w:themeColor="text1"/>
          <w:sz w:val="24"/>
          <w:szCs w:val="24"/>
        </w:rPr>
        <w:t xml:space="preserve">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No caso de advocacia, o candidato deverá anexar os protocolos de cinco petições em processos distintos em cada ano.</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NA ÁREA CÍVEL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b/>
          <w:b/>
          <w:bCs/>
          <w:color w:val="000000" w:themeColor="text1"/>
          <w:sz w:val="24"/>
          <w:szCs w:val="24"/>
        </w:rPr>
      </w:pPr>
      <w:r>
        <w:rPr>
          <w:rFonts w:ascii="Times New Roman" w:hAnsi="Times New Roman"/>
          <w:color w:val="000000" w:themeColor="text1"/>
          <w:sz w:val="24"/>
          <w:szCs w:val="24"/>
        </w:rPr>
        <w:t xml:space="preserve">7.2.2.1. Considera-se um semestre de estágio a atividade exercida pelo período de </w:t>
      </w:r>
      <w:r>
        <w:rPr>
          <w:rFonts w:ascii="Times New Roman" w:hAnsi="Times New Roman"/>
          <w:b/>
          <w:bCs/>
          <w:color w:val="000000" w:themeColor="text1"/>
          <w:sz w:val="24"/>
          <w:szCs w:val="24"/>
        </w:rPr>
        <w:t>SEIS MESES.</w:t>
      </w:r>
    </w:p>
    <w:p>
      <w:pPr>
        <w:pStyle w:val="ListParagraph"/>
        <w:spacing w:lineRule="auto" w:line="276" w:before="240" w:after="160"/>
        <w:ind w:left="1944" w:hanging="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7.2.2.2. Não serão considerados documentos (ex. Termo de Estágio) que não indiquem o período efetivamente estagiado pelo candidato. </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 nas demais áreas</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7.2.3.1.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spacing w:lineRule="auto" w:line="276" w:before="240" w:after="160"/>
        <w:ind w:left="1944" w:hanging="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7.2.3.2. Não serão considerados documentos (ex. Termo de Estágio) que não indiquem o período efetivamente estagiado pelo candidato. </w:t>
      </w:r>
    </w:p>
    <w:p>
      <w:pPr>
        <w:pStyle w:val="ListParagraph"/>
        <w:numPr>
          <w:ilvl w:val="2"/>
          <w:numId w:val="12"/>
        </w:numPr>
        <w:suppressAutoHyphens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E CAPACITAÇÕES NA ÁREA DE MEDIAÇÃO E CONCILIAÇÃO ou DIREITO CIVIL</w:t>
      </w:r>
      <w:r>
        <w:rPr>
          <w:rFonts w:ascii="Times New Roman" w:hAnsi="Times New Roman"/>
          <w:color w:val="000000" w:themeColor="text1"/>
          <w:sz w:val="24"/>
          <w:szCs w:val="24"/>
        </w:rPr>
        <w:t>, o candidato deverá apresentar o certificado de participação e comprovação de carga-horária mínima de 12 horas/aula;</w:t>
      </w:r>
    </w:p>
    <w:p>
      <w:pPr>
        <w:pStyle w:val="ListParagraph"/>
        <w:numPr>
          <w:ilvl w:val="2"/>
          <w:numId w:val="12"/>
        </w:numPr>
        <w:suppressAutoHyphens w:val="false"/>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DE EXTENSÃO</w:t>
      </w:r>
      <w:r>
        <w:rPr>
          <w:rFonts w:ascii="Times New Roman" w:hAnsi="Times New Roman"/>
          <w:color w:val="000000" w:themeColor="text1"/>
          <w:sz w:val="24"/>
          <w:szCs w:val="24"/>
        </w:rPr>
        <w:t xml:space="preserve"> o candidato deverá apresentar o certificado de participação e comprovação de carga-horária mínima de 30 horas/aula;</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o candidato deverá apresentar cópia da capa e sumário de publicação e comprovação do Qualis da publicação;</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2"/>
        </w:numPr>
        <w:suppressAutoHyphens w:val="false"/>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Cs/>
          <w:color w:val="000000" w:themeColor="text1"/>
          <w:sz w:val="24"/>
          <w:szCs w:val="24"/>
        </w:rPr>
        <w:t xml:space="preserve">apresentar </w:t>
      </w:r>
      <w:r>
        <w:rPr>
          <w:rFonts w:ascii="Times New Roman" w:hAnsi="Times New Roman"/>
          <w:b/>
          <w:bCs/>
          <w:color w:val="000000" w:themeColor="text1"/>
          <w:sz w:val="24"/>
          <w:szCs w:val="24"/>
        </w:rPr>
        <w:t>Certificado ou Declaração de Conclusão do Curso ou Declaração de Matrícula, com reconhecimento pelo MEC.</w:t>
      </w:r>
    </w:p>
    <w:p>
      <w:pPr>
        <w:pStyle w:val="Ttulo1"/>
        <w:ind w:left="360" w:hanging="0"/>
        <w:rPr>
          <w:color w:val="000000" w:themeColor="text1"/>
        </w:rPr>
      </w:pPr>
      <w:r>
        <w:rPr>
          <w:color w:val="000000" w:themeColor="text1"/>
        </w:rPr>
      </w:r>
    </w:p>
    <w:p>
      <w:pPr>
        <w:pStyle w:val="Ttulo1"/>
        <w:numPr>
          <w:ilvl w:val="0"/>
          <w:numId w:val="11"/>
        </w:numPr>
        <w:rPr>
          <w:color w:val="000000" w:themeColor="text1"/>
        </w:rPr>
      </w:pPr>
      <w:r>
        <w:rPr>
          <w:color w:val="000000" w:themeColor="text1"/>
        </w:rPr>
        <w:t>CRITÉRIOS E PONTUAÇÃO PARA PROVA DISSERTATIVA</w:t>
      </w:r>
    </w:p>
    <w:p>
      <w:pPr>
        <w:pStyle w:val="NoSpacing"/>
        <w:numPr>
          <w:ilvl w:val="1"/>
          <w:numId w:val="11"/>
        </w:numPr>
        <w:spacing w:before="24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w:t>
      </w:r>
      <w:r>
        <w:rPr>
          <w:rFonts w:cs="Times New Roman" w:ascii="Times New Roman" w:hAnsi="Times New Roman"/>
          <w:bCs/>
          <w:color w:val="000000" w:themeColor="text1"/>
          <w:sz w:val="24"/>
          <w:szCs w:val="24"/>
          <w:lang w:val="pt-BR"/>
        </w:rPr>
        <w:t>de</w:t>
      </w:r>
      <w:r>
        <w:rPr>
          <w:rFonts w:cs="Times New Roman" w:ascii="Times New Roman" w:hAnsi="Times New Roman"/>
          <w:b/>
          <w:bCs/>
          <w:color w:val="000000" w:themeColor="text1"/>
          <w:sz w:val="24"/>
          <w:szCs w:val="24"/>
          <w:lang w:val="pt-BR"/>
        </w:rPr>
        <w:t xml:space="preserve"> PROVA DISSERTATIVA</w:t>
      </w:r>
      <w:r>
        <w:rPr>
          <w:rFonts w:cs="Times New Roman" w:ascii="Times New Roman" w:hAnsi="Times New Roman"/>
          <w:color w:val="000000" w:themeColor="text1"/>
          <w:sz w:val="24"/>
          <w:szCs w:val="24"/>
          <w:lang w:val="pt-BR"/>
        </w:rPr>
        <w:t xml:space="preserve"> os </w:t>
      </w:r>
      <w:r>
        <w:rPr>
          <w:rFonts w:cs="Times New Roman" w:ascii="Times New Roman" w:hAnsi="Times New Roman"/>
          <w:b/>
          <w:color w:val="000000" w:themeColor="text1"/>
          <w:sz w:val="24"/>
          <w:szCs w:val="24"/>
          <w:lang w:val="pt-BR"/>
        </w:rPr>
        <w:t>120 (cento e vinte)</w:t>
      </w:r>
      <w:r>
        <w:rPr>
          <w:rFonts w:cs="Times New Roman" w:ascii="Times New Roman" w:hAnsi="Times New Roman"/>
          <w:color w:val="000000" w:themeColor="text1"/>
          <w:sz w:val="24"/>
          <w:szCs w:val="24"/>
          <w:lang w:val="pt-BR"/>
        </w:rPr>
        <w:t xml:space="preserve"> candidatos com as melhores notas da fase de </w:t>
      </w:r>
      <w:r>
        <w:rPr>
          <w:rFonts w:cs="Times New Roman" w:ascii="Times New Roman" w:hAnsi="Times New Roman"/>
          <w:b/>
          <w:bCs/>
          <w:color w:val="000000" w:themeColor="text1"/>
          <w:sz w:val="24"/>
          <w:szCs w:val="24"/>
          <w:lang w:val="pt-BR"/>
        </w:rPr>
        <w:t>ANÁLISE CURRICULAR</w:t>
      </w:r>
      <w:r>
        <w:rPr>
          <w:rFonts w:cs="Times New Roman" w:ascii="Times New Roman" w:hAnsi="Times New Roman"/>
          <w:color w:val="000000" w:themeColor="text1"/>
          <w:sz w:val="24"/>
          <w:szCs w:val="24"/>
          <w:lang w:val="pt-BR"/>
        </w:rPr>
        <w:t xml:space="preserve">: </w:t>
      </w:r>
    </w:p>
    <w:tbl>
      <w:tblPr>
        <w:tblStyle w:val="Tabelacomgrade"/>
        <w:tblW w:w="7016" w:type="dxa"/>
        <w:jc w:val="left"/>
        <w:tblInd w:w="1478" w:type="dxa"/>
        <w:tblLayout w:type="fixed"/>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widowControl/>
              <w:spacing w:before="0" w:after="240"/>
              <w:jc w:val="both"/>
              <w:rPr>
                <w:rFonts w:ascii="Times New Roman" w:hAnsi="Times New Roman"/>
                <w:b/>
                <w:b/>
                <w:color w:val="000000" w:themeColor="text1"/>
                <w:sz w:val="24"/>
                <w:szCs w:val="24"/>
                <w:lang w:val="pt-BR"/>
              </w:rPr>
            </w:pPr>
            <w:r>
              <w:rPr>
                <w:rFonts w:eastAsia="Calibri" w:cs="Times New Roman" w:ascii="Times New Roman" w:hAnsi="Times New Roman"/>
                <w:b/>
                <w:color w:val="000000" w:themeColor="text1"/>
                <w:kern w:val="0"/>
                <w:sz w:val="24"/>
                <w:szCs w:val="24"/>
                <w:lang w:val="pt-BR" w:eastAsia="pt-BR" w:bidi="ar-SA"/>
              </w:rPr>
              <w:t>AMPLA CONCORRÊNCIA</w:t>
            </w:r>
          </w:p>
        </w:tc>
        <w:tc>
          <w:tcPr>
            <w:tcW w:w="3381" w:type="dxa"/>
            <w:tcBorders/>
          </w:tcPr>
          <w:p>
            <w:pPr>
              <w:pStyle w:val="NoSpacing"/>
              <w:widowControl/>
              <w:spacing w:before="0" w:after="240"/>
              <w:jc w:val="both"/>
              <w:rPr>
                <w:rFonts w:ascii="Times New Roman" w:hAnsi="Times New Roman"/>
                <w:b/>
                <w:b/>
                <w:color w:val="000000" w:themeColor="text1"/>
                <w:sz w:val="24"/>
                <w:szCs w:val="24"/>
                <w:lang w:val="pt-BR"/>
              </w:rPr>
            </w:pPr>
            <w:r>
              <w:rPr>
                <w:rFonts w:eastAsia="Calibri" w:cs="Times New Roman" w:ascii="Times New Roman" w:hAnsi="Times New Roman"/>
                <w:b/>
                <w:color w:val="000000" w:themeColor="text1"/>
                <w:kern w:val="0"/>
                <w:sz w:val="24"/>
                <w:szCs w:val="24"/>
                <w:lang w:val="pt-BR" w:eastAsia="pt-BR" w:bidi="ar-SA"/>
              </w:rPr>
              <w:t>108 (cento e oito) convocados</w:t>
            </w:r>
          </w:p>
        </w:tc>
      </w:tr>
      <w:tr>
        <w:trPr/>
        <w:tc>
          <w:tcPr>
            <w:tcW w:w="3634" w:type="dxa"/>
            <w:tcBorders/>
          </w:tcPr>
          <w:p>
            <w:pPr>
              <w:pStyle w:val="NoSpacing"/>
              <w:widowControl/>
              <w:spacing w:before="0" w:after="240"/>
              <w:jc w:val="both"/>
              <w:rPr>
                <w:rFonts w:ascii="Times New Roman" w:hAnsi="Times New Roman"/>
                <w:b/>
                <w:b/>
                <w:color w:val="000000" w:themeColor="text1"/>
                <w:sz w:val="24"/>
                <w:szCs w:val="24"/>
                <w:lang w:val="pt-BR"/>
              </w:rPr>
            </w:pPr>
            <w:r>
              <w:rPr>
                <w:rFonts w:eastAsia="Calibri" w:cs="Times New Roman" w:ascii="Times New Roman" w:hAnsi="Times New Roman"/>
                <w:b/>
                <w:color w:val="000000" w:themeColor="text1"/>
                <w:kern w:val="0"/>
                <w:sz w:val="24"/>
                <w:szCs w:val="24"/>
                <w:lang w:val="pt-BR" w:eastAsia="pt-BR" w:bidi="ar-SA"/>
              </w:rPr>
              <w:t>PcD</w:t>
            </w:r>
          </w:p>
        </w:tc>
        <w:tc>
          <w:tcPr>
            <w:tcW w:w="3381" w:type="dxa"/>
            <w:tcBorders/>
          </w:tcPr>
          <w:p>
            <w:pPr>
              <w:pStyle w:val="NoSpacing"/>
              <w:widowControl/>
              <w:numPr>
                <w:ilvl w:val="0"/>
                <w:numId w:val="13"/>
              </w:numPr>
              <w:spacing w:before="0" w:after="240"/>
              <w:jc w:val="left"/>
              <w:rPr>
                <w:rFonts w:ascii="Times New Roman" w:hAnsi="Times New Roman"/>
                <w:b/>
                <w:b/>
                <w:color w:val="000000" w:themeColor="text1"/>
                <w:sz w:val="24"/>
                <w:szCs w:val="24"/>
                <w:lang w:val="pt-BR"/>
              </w:rPr>
            </w:pPr>
            <w:r>
              <w:rPr>
                <w:rFonts w:eastAsia="Calibri" w:cs="Times New Roman" w:ascii="Times New Roman" w:hAnsi="Times New Roman"/>
                <w:b/>
                <w:color w:val="000000" w:themeColor="text1"/>
                <w:kern w:val="0"/>
                <w:sz w:val="24"/>
                <w:szCs w:val="24"/>
                <w:lang w:val="pt-BR" w:eastAsia="pt-BR" w:bidi="ar-SA"/>
              </w:rPr>
              <w:t>(doze) convocados</w:t>
            </w:r>
          </w:p>
        </w:tc>
      </w:tr>
    </w:tbl>
    <w:p>
      <w:pPr>
        <w:pStyle w:val="Normal"/>
        <w:spacing w:lineRule="auto" w:line="240"/>
        <w:jc w:val="both"/>
        <w:rPr>
          <w:rFonts w:ascii="Times New Roman" w:hAnsi="Times New Roman" w:eastAsia="Calibri" w:eastAsiaTheme="minorHAnsi"/>
          <w:bCs/>
          <w:color w:val="000000" w:themeColor="text1"/>
          <w:sz w:val="24"/>
          <w:szCs w:val="24"/>
        </w:rPr>
      </w:pPr>
      <w:r>
        <w:rPr>
          <w:rFonts w:eastAsia="Calibri" w:eastAsiaTheme="minorHAnsi" w:ascii="Times New Roman" w:hAnsi="Times New Roman"/>
          <w:bCs/>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Cs/>
          <w:color w:val="000000" w:themeColor="text1"/>
          <w:sz w:val="24"/>
          <w:szCs w:val="24"/>
        </w:rPr>
        <w:t>O</w:t>
      </w:r>
      <w:r>
        <w:rPr>
          <w:rFonts w:eastAsia="Calibri" w:ascii="Times New Roman" w:hAnsi="Times New Roman" w:eastAsiaTheme="minorHAnsi"/>
          <w:b/>
          <w:bCs/>
          <w:color w:val="000000" w:themeColor="text1"/>
          <w:sz w:val="24"/>
          <w:szCs w:val="24"/>
        </w:rPr>
        <w:t>s</w:t>
      </w:r>
      <w:r>
        <w:rPr>
          <w:rFonts w:eastAsia="Calibri" w:ascii="Times New Roman" w:hAnsi="Times New Roman" w:eastAsiaTheme="minorHAnsi"/>
          <w:bCs/>
          <w:color w:val="000000" w:themeColor="text1"/>
          <w:sz w:val="24"/>
          <w:szCs w:val="24"/>
        </w:rPr>
        <w:t xml:space="preserve"> candidatos classificados receberão, através do e-mail informado no momento da inscrição, o link de acesso para a plataforma virtual e instruções específicas para a prova.</w:t>
      </w:r>
    </w:p>
    <w:p>
      <w:pPr>
        <w:pStyle w:val="ListParagraph"/>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Cs/>
          <w:color w:val="000000" w:themeColor="text1"/>
          <w:sz w:val="24"/>
          <w:szCs w:val="24"/>
        </w:rPr>
        <w:t>A</w:t>
      </w:r>
      <w:r>
        <w:rPr>
          <w:rFonts w:eastAsia="Calibri" w:ascii="Times New Roman" w:hAnsi="Times New Roman" w:eastAsiaTheme="minorHAnsi"/>
          <w:b/>
          <w:bCs/>
          <w:color w:val="000000" w:themeColor="text1"/>
          <w:sz w:val="24"/>
          <w:szCs w:val="24"/>
        </w:rPr>
        <w:t xml:space="preserve"> PROVA DISSERTATIVA consistirá em 3 (três) questões subjetivas;</w:t>
      </w:r>
    </w:p>
    <w:p>
      <w:pPr>
        <w:pStyle w:val="ListParagrap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 </w:t>
      </w:r>
      <w:r>
        <w:rPr>
          <w:rFonts w:ascii="Times New Roman" w:hAnsi="Times New Roman"/>
          <w:b/>
          <w:color w:val="000000" w:themeColor="text1"/>
          <w:sz w:val="24"/>
          <w:szCs w:val="24"/>
        </w:rPr>
        <w:t xml:space="preserve">PROVA DISSERTATIVA </w:t>
      </w:r>
      <w:r>
        <w:rPr>
          <w:rFonts w:ascii="Times New Roman" w:hAnsi="Times New Roman"/>
          <w:color w:val="000000" w:themeColor="text1"/>
          <w:sz w:val="24"/>
          <w:szCs w:val="24"/>
        </w:rPr>
        <w:t xml:space="preserve">obedecerá ao </w:t>
      </w:r>
      <w:r>
        <w:rPr>
          <w:rFonts w:ascii="Times New Roman" w:hAnsi="Times New Roman"/>
          <w:b/>
          <w:color w:val="000000" w:themeColor="text1"/>
          <w:sz w:val="24"/>
          <w:szCs w:val="24"/>
        </w:rPr>
        <w:t>CONTEÚDO PROGRAMÁTICO DO ANEXO II</w:t>
      </w:r>
      <w:r>
        <w:rPr>
          <w:rFonts w:ascii="Times New Roman" w:hAnsi="Times New Roman"/>
          <w:color w:val="000000" w:themeColor="text1"/>
          <w:sz w:val="24"/>
          <w:szCs w:val="24"/>
        </w:rPr>
        <w:t>;</w:t>
      </w:r>
    </w:p>
    <w:p>
      <w:pPr>
        <w:pStyle w:val="ListParagraph"/>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color w:val="000000" w:themeColor="text1"/>
          <w:sz w:val="24"/>
          <w:szCs w:val="24"/>
        </w:rPr>
        <w:t xml:space="preserve">A Prova Dissertativa obedecerá ao cronograma com dia, horário e local a ser divulgado no site da </w:t>
      </w:r>
      <w:hyperlink r:id="rId8">
        <w:r>
          <w:rPr>
            <w:rStyle w:val="LinkdaInternet"/>
            <w:rFonts w:eastAsia="Calibri" w:ascii="Times New Roman" w:hAnsi="Times New Roman" w:eastAsiaTheme="minorHAnsi"/>
            <w:color w:val="000000" w:themeColor="text1"/>
            <w:sz w:val="24"/>
            <w:szCs w:val="24"/>
          </w:rPr>
          <w:t>DEFENSORIA PÚBLICA</w:t>
        </w:r>
      </w:hyperlink>
      <w:r>
        <w:rPr>
          <w:rFonts w:eastAsia="Calibri" w:ascii="Times New Roman" w:hAnsi="Times New Roman" w:eastAsiaTheme="minorHAnsi"/>
          <w:color w:val="000000" w:themeColor="text1"/>
          <w:sz w:val="24"/>
          <w:szCs w:val="24"/>
        </w:rPr>
        <w:t>;</w:t>
      </w:r>
    </w:p>
    <w:p>
      <w:pPr>
        <w:pStyle w:val="ListParagrap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eastAsia="Calibri" w:eastAsiaTheme="minorHAnsi" w:ascii="Times New Roman" w:hAnsi="Times New Roman"/>
          <w:b/>
          <w:bCs/>
          <w:color w:val="000000" w:themeColor="text1"/>
          <w:sz w:val="24"/>
          <w:szCs w:val="24"/>
        </w:rPr>
      </w:r>
    </w:p>
    <w:p>
      <w:pPr>
        <w:pStyle w:val="ListParagraph"/>
        <w:numPr>
          <w:ilvl w:val="1"/>
          <w:numId w:val="11"/>
        </w:numPr>
        <w:spacing w:lineRule="auto" w:line="240" w:before="240" w:after="160"/>
        <w:contextualSpacing/>
        <w:jc w:val="both"/>
        <w:rPr>
          <w:rFonts w:ascii="Times New Roman" w:hAnsi="Times New Roman" w:eastAsia="Calibri" w:eastAsiaTheme="minorHAnsi"/>
          <w:b/>
          <w:b/>
          <w:bCs/>
          <w:color w:val="000000" w:themeColor="text1"/>
          <w:sz w:val="24"/>
          <w:szCs w:val="24"/>
        </w:rPr>
      </w:pPr>
      <w:r>
        <w:rPr>
          <w:rFonts w:ascii="Times New Roman" w:hAnsi="Times New Roman"/>
          <w:color w:val="000000" w:themeColor="text1"/>
          <w:sz w:val="24"/>
          <w:szCs w:val="24"/>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NoSpacing"/>
        <w:spacing w:before="0" w:after="240"/>
        <w:ind w:left="284" w:hanging="0"/>
        <w:jc w:val="both"/>
        <w:rPr>
          <w:rFonts w:ascii="Times New Roman" w:hAnsi="Times New Roman" w:cs="Times New Roman"/>
          <w:color w:val="000000" w:themeColor="text1"/>
          <w:sz w:val="24"/>
          <w:szCs w:val="24"/>
          <w:lang w:val="pt-BR"/>
        </w:rPr>
      </w:pPr>
      <w:r>
        <w:rPr>
          <w:rFonts w:cs="Times New Roman" w:ascii="Times New Roman" w:hAnsi="Times New Roman"/>
          <w:b/>
          <w:color w:val="000000" w:themeColor="text1"/>
          <w:sz w:val="24"/>
          <w:szCs w:val="24"/>
        </w:rPr>
        <w:t>8.5</w:t>
      </w:r>
      <w:r>
        <w:rPr>
          <w:rFonts w:cs="Times New Roman" w:ascii="Times New Roman" w:hAnsi="Times New Roman"/>
          <w:color w:val="000000" w:themeColor="text1"/>
          <w:sz w:val="24"/>
          <w:szCs w:val="24"/>
        </w:rPr>
        <w:t xml:space="preserve"> Serão aprovados os </w:t>
      </w:r>
      <w:r>
        <w:rPr>
          <w:rFonts w:cs="Times New Roman" w:ascii="Times New Roman" w:hAnsi="Times New Roman"/>
          <w:b/>
          <w:color w:val="000000" w:themeColor="text1"/>
          <w:sz w:val="24"/>
          <w:szCs w:val="24"/>
        </w:rPr>
        <w:t>60 (sessenta) CANDIDATOS</w:t>
      </w:r>
      <w:r>
        <w:rPr>
          <w:rFonts w:cs="Times New Roman" w:ascii="Times New Roman" w:hAnsi="Times New Roman"/>
          <w:color w:val="000000" w:themeColor="text1"/>
          <w:sz w:val="24"/>
          <w:szCs w:val="24"/>
        </w:rPr>
        <w:t xml:space="preserve"> com as maiores pontuações finais, desde que tenham atingido a nota mín</w:t>
      </w:r>
      <w:bookmarkStart w:id="1" w:name="_GoBack"/>
      <w:bookmarkEnd w:id="1"/>
      <w:r>
        <w:rPr>
          <w:rFonts w:cs="Times New Roman" w:ascii="Times New Roman" w:hAnsi="Times New Roman"/>
          <w:color w:val="000000" w:themeColor="text1"/>
          <w:sz w:val="24"/>
          <w:szCs w:val="24"/>
        </w:rPr>
        <w:t>ima na Prova Dissertativa de 20 (vinte pontos).</w:t>
      </w:r>
    </w:p>
    <w:p>
      <w:pPr>
        <w:pStyle w:val="Ttulo1"/>
        <w:ind w:left="-142" w:firstLine="137"/>
        <w:rPr>
          <w:color w:val="000000" w:themeColor="text1"/>
        </w:rPr>
      </w:pPr>
      <w:r>
        <w:rPr>
          <w:color w:val="000000" w:themeColor="text1"/>
        </w:rPr>
        <w:t>9. DOS CRITÉRIOS DE DESEMPATE</w:t>
      </w:r>
    </w:p>
    <w:p>
      <w:pPr>
        <w:pStyle w:val="NoSpacing"/>
        <w:numPr>
          <w:ilvl w:val="1"/>
          <w:numId w:val="9"/>
        </w:numPr>
        <w:spacing w:before="24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 xml:space="preserve">Ocorrendo empate na fase de </w:t>
      </w:r>
      <w:r>
        <w:rPr>
          <w:rFonts w:cs="Times New Roman" w:ascii="Times New Roman" w:hAnsi="Times New Roman"/>
          <w:b/>
          <w:bCs/>
          <w:color w:val="000000" w:themeColor="text1"/>
          <w:sz w:val="24"/>
          <w:szCs w:val="24"/>
          <w:lang w:val="pt-BR" w:eastAsia="pt-BR"/>
        </w:rPr>
        <w:t>ANÁLISE CURRICULAR</w:t>
      </w:r>
      <w:r>
        <w:rPr>
          <w:rFonts w:cs="Times New Roman" w:ascii="Times New Roman" w:hAnsi="Times New Roman"/>
          <w:color w:val="000000" w:themeColor="text1"/>
          <w:sz w:val="24"/>
          <w:szCs w:val="24"/>
          <w:lang w:val="pt-BR" w:eastAsia="pt-BR"/>
        </w:rPr>
        <w:t>, serão critérios de desempate:</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Jurídica;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na Área Cível.</w:t>
      </w:r>
    </w:p>
    <w:p>
      <w:pPr>
        <w:pStyle w:val="NoSpacing"/>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9"/>
        </w:numPr>
        <w:spacing w:before="0" w:after="24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Ocorrendo empate na </w:t>
      </w:r>
      <w:r>
        <w:rPr>
          <w:rFonts w:cs="Times New Roman" w:ascii="Times New Roman" w:hAnsi="Times New Roman"/>
          <w:b/>
          <w:color w:val="000000" w:themeColor="text1"/>
          <w:sz w:val="24"/>
          <w:szCs w:val="24"/>
          <w:lang w:val="pt-BR" w:eastAsia="pt-BR"/>
        </w:rPr>
        <w:t>NOTA FINAL</w:t>
      </w:r>
      <w:r>
        <w:rPr>
          <w:rFonts w:cs="Times New Roman" w:ascii="Times New Roman" w:hAnsi="Times New Roman"/>
          <w:color w:val="000000" w:themeColor="text1"/>
          <w:sz w:val="24"/>
          <w:szCs w:val="24"/>
          <w:lang w:val="pt-BR" w:eastAsia="pt-BR"/>
        </w:rPr>
        <w:t>, serão critérios de desempate:</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Prova Dissertativa;</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Análise Curricular.</w:t>
      </w:r>
    </w:p>
    <w:p>
      <w:pPr>
        <w:pStyle w:val="NoSpacing"/>
        <w:ind w:left="1440"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Ttulo1"/>
        <w:numPr>
          <w:ilvl w:val="0"/>
          <w:numId w:val="7"/>
        </w:numPr>
        <w:ind w:left="284" w:hanging="360"/>
        <w:rPr>
          <w:color w:val="000000" w:themeColor="text1"/>
        </w:rPr>
      </w:pPr>
      <w:r>
        <w:rPr>
          <w:color w:val="000000" w:themeColor="text1"/>
        </w:rPr>
        <w:t>DOS RECURSOS</w:t>
      </w:r>
    </w:p>
    <w:p>
      <w:pPr>
        <w:pStyle w:val="ListParagraph"/>
        <w:spacing w:lineRule="auto" w:line="240"/>
        <w:ind w:left="709"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7"/>
        </w:numPr>
        <w:tabs>
          <w:tab w:val="clear" w:pos="708"/>
          <w:tab w:val="left" w:pos="142" w:leader="none"/>
        </w:tabs>
        <w:spacing w:lineRule="auto" w:line="240"/>
        <w:ind w:left="426" w:hanging="42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um dia útil</w:t>
      </w:r>
      <w:r>
        <w:rPr>
          <w:rFonts w:ascii="Times New Roman" w:hAnsi="Times New Roman"/>
          <w:color w:val="000000" w:themeColor="text1"/>
          <w:sz w:val="24"/>
          <w:szCs w:val="24"/>
        </w:rPr>
        <w:t>, contado do primeiro dia subsequente à publicação dos resultados referentes a:</w:t>
      </w:r>
    </w:p>
    <w:p>
      <w:pPr>
        <w:pStyle w:val="ListParagraph"/>
        <w:spacing w:lineRule="auto" w:line="240"/>
        <w:ind w:left="709"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2"/>
          <w:numId w:val="7"/>
        </w:numPr>
        <w:tabs>
          <w:tab w:val="clear" w:pos="708"/>
          <w:tab w:val="left" w:pos="0" w:leader="none"/>
        </w:tabs>
        <w:spacing w:lineRule="auto" w:line="240"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7"/>
        </w:numPr>
        <w:tabs>
          <w:tab w:val="clear" w:pos="708"/>
          <w:tab w:val="left" w:pos="0" w:leader="none"/>
        </w:tabs>
        <w:spacing w:lineRule="auto" w:line="240"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numPr>
          <w:ilvl w:val="2"/>
          <w:numId w:val="7"/>
        </w:numPr>
        <w:tabs>
          <w:tab w:val="clear" w:pos="708"/>
          <w:tab w:val="left" w:pos="0" w:leader="none"/>
        </w:tabs>
        <w:spacing w:lineRule="auto" w:line="240"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Prova Dissertativa</w:t>
      </w:r>
    </w:p>
    <w:p>
      <w:pPr>
        <w:pStyle w:val="Normal"/>
        <w:widowControl w:val="false"/>
        <w:tabs>
          <w:tab w:val="clear" w:pos="708"/>
          <w:tab w:val="left" w:pos="0" w:leader="none"/>
        </w:tabs>
        <w:spacing w:lineRule="auto" w:line="240"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s>
        <w:spacing w:lineRule="auto" w:line="240" w:before="2" w:after="0"/>
        <w:ind w:left="567"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 CÍVEL”</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7"/>
        </w:numPr>
        <w:tabs>
          <w:tab w:val="clear" w:pos="708"/>
          <w:tab w:val="left" w:pos="0" w:leader="none"/>
        </w:tabs>
        <w:spacing w:lineRule="auto" w:line="240" w:before="0"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7"/>
        </w:numPr>
        <w:tabs>
          <w:tab w:val="clear" w:pos="708"/>
          <w:tab w:val="left" w:pos="0" w:leader="none"/>
        </w:tabs>
        <w:spacing w:lineRule="auto" w:line="240" w:before="0"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0" w:leader="none"/>
        </w:tabs>
        <w:spacing w:lineRule="auto" w:line="240" w:before="0" w:after="0"/>
        <w:ind w:left="567" w:right="119"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9">
        <w:r>
          <w:rPr>
            <w:rStyle w:val="LinkdaInternet"/>
            <w:rFonts w:ascii="Times New Roman" w:hAnsi="Times New Roman"/>
            <w:b/>
            <w:color w:val="000000" w:themeColor="text1"/>
            <w:sz w:val="24"/>
            <w:szCs w:val="24"/>
          </w:rPr>
          <w:t>seletivos2021@ma.def.br</w:t>
        </w:r>
      </w:hyperlink>
      <w:r>
        <w:rPr>
          <w:rFonts w:ascii="Times New Roman" w:hAnsi="Times New Roman"/>
          <w:b/>
          <w:color w:val="000000" w:themeColor="text1"/>
          <w:sz w:val="24"/>
          <w:szCs w:val="24"/>
        </w:rPr>
        <w:t>).</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7"/>
        </w:numPr>
        <w:tabs>
          <w:tab w:val="clear" w:pos="708"/>
          <w:tab w:val="left" w:pos="558" w:leader="none"/>
        </w:tabs>
        <w:spacing w:before="0" w:after="240"/>
        <w:ind w:left="426" w:hanging="360"/>
        <w:rPr>
          <w:rFonts w:cs="Times New Roman"/>
          <w:color w:val="000000" w:themeColor="text1"/>
          <w:szCs w:val="24"/>
        </w:rPr>
      </w:pPr>
      <w:r>
        <w:rPr>
          <w:rFonts w:cs="Times New Roman"/>
          <w:color w:val="000000" w:themeColor="text1"/>
          <w:szCs w:val="24"/>
        </w:rPr>
        <w:t xml:space="preserve"> </w:t>
      </w:r>
      <w:r>
        <w:rPr>
          <w:rFonts w:cs="Times New Roman"/>
          <w:color w:val="000000" w:themeColor="text1"/>
          <w:szCs w:val="24"/>
        </w:rPr>
        <w:t>DA CLASSIFICAÇÃO FINAL</w:t>
      </w:r>
    </w:p>
    <w:p>
      <w:pPr>
        <w:pStyle w:val="ListParagraph"/>
        <w:widowControl w:val="false"/>
        <w:numPr>
          <w:ilvl w:val="1"/>
          <w:numId w:val="7"/>
        </w:numPr>
        <w:tabs>
          <w:tab w:val="clear" w:pos="708"/>
        </w:tabs>
        <w:spacing w:lineRule="auto" w:line="240" w:before="0" w:after="0"/>
        <w:ind w:left="0" w:right="12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Análise Curricular e Prova Dissertativa, desde que preencham os requisitos constantes deste Edital.</w:t>
      </w:r>
    </w:p>
    <w:p>
      <w:pPr>
        <w:pStyle w:val="Corpodotexto"/>
        <w:tabs>
          <w:tab w:val="clear" w:pos="708"/>
          <w:tab w:val="left" w:pos="709" w:leader="none"/>
          <w:tab w:val="left" w:pos="1134" w:leader="none"/>
        </w:tabs>
        <w:ind w:firstLine="142"/>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709" w:leader="none"/>
          <w:tab w:val="left" w:pos="785" w:leader="none"/>
          <w:tab w:val="left" w:pos="1134" w:leader="none"/>
        </w:tabs>
        <w:spacing w:lineRule="auto" w:line="240" w:before="0" w:after="0"/>
        <w:ind w:left="709" w:right="108" w:hanging="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tabs>
          <w:tab w:val="clear" w:pos="708"/>
          <w:tab w:val="left" w:pos="709" w:leader="none"/>
          <w:tab w:val="left" w:pos="1134" w:leader="none"/>
        </w:tabs>
        <w:spacing w:lineRule="auto" w:line="240"/>
        <w:ind w:left="720" w:firstLine="142"/>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09" w:leader="none"/>
          <w:tab w:val="left" w:pos="785" w:leader="none"/>
          <w:tab w:val="left" w:pos="1134" w:leader="none"/>
        </w:tabs>
        <w:spacing w:lineRule="auto" w:line="240" w:before="0" w:after="0"/>
        <w:ind w:left="709" w:right="108" w:hanging="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 xml:space="preserve">10% (dez por cento) das contratações </w:t>
      </w:r>
      <w:r>
        <w:rPr>
          <w:rFonts w:ascii="Times New Roman" w:hAnsi="Times New Roman"/>
          <w:color w:val="000000" w:themeColor="text1"/>
          <w:sz w:val="24"/>
          <w:szCs w:val="24"/>
        </w:rPr>
        <w:t>por lista específica.</w:t>
      </w:r>
    </w:p>
    <w:p>
      <w:pPr>
        <w:pStyle w:val="Corpodotexto"/>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7"/>
        </w:numPr>
        <w:tabs>
          <w:tab w:val="clear" w:pos="708"/>
          <w:tab w:val="left" w:pos="284" w:leader="none"/>
        </w:tabs>
        <w:ind w:left="0" w:firstLine="10"/>
        <w:rPr>
          <w:rFonts w:cs="Times New Roman"/>
          <w:color w:val="000000" w:themeColor="text1"/>
          <w:szCs w:val="24"/>
        </w:rPr>
      </w:pPr>
      <w:r>
        <w:rPr>
          <w:rFonts w:cs="Times New Roman"/>
          <w:color w:val="000000" w:themeColor="text1"/>
          <w:szCs w:val="24"/>
        </w:rPr>
        <w:t xml:space="preserve"> </w:t>
      </w:r>
      <w:r>
        <w:rPr>
          <w:rFonts w:cs="Times New Roman"/>
          <w:color w:val="000000" w:themeColor="text1"/>
          <w:szCs w:val="24"/>
        </w:rPr>
        <w:t>DA CONTRATAÇÃO</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7"/>
        </w:numPr>
        <w:tabs>
          <w:tab w:val="clear" w:pos="708"/>
          <w:tab w:val="left" w:pos="567" w:leader="none"/>
        </w:tabs>
        <w:spacing w:lineRule="auto" w:line="240" w:before="0" w:after="0"/>
        <w:ind w:left="851" w:right="117" w:hanging="851"/>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4"/>
        </w:numPr>
        <w:spacing w:lineRule="auto" w:line="240" w:before="0" w:after="0"/>
        <w:ind w:left="1701" w:firstLine="54"/>
        <w:contextualSpacing/>
        <w:jc w:val="both"/>
        <w:rPr>
          <w:rFonts w:ascii="Times New Roman" w:hAnsi="Times New Roman"/>
          <w:color w:val="000000" w:themeColor="text1"/>
        </w:rPr>
      </w:pPr>
      <w:r>
        <w:rPr>
          <w:rFonts w:ascii="Times New Roman" w:hAnsi="Times New Roman"/>
          <w:color w:val="000000" w:themeColor="text1"/>
        </w:rPr>
        <w:t>Ter sido aprovado no processo seletivo;</w:t>
      </w:r>
    </w:p>
    <w:p>
      <w:pPr>
        <w:pStyle w:val="ListParagraph"/>
        <w:widowControl w:val="false"/>
        <w:numPr>
          <w:ilvl w:val="0"/>
          <w:numId w:val="4"/>
        </w:numPr>
        <w:spacing w:lineRule="auto" w:line="240" w:before="10" w:after="0"/>
        <w:ind w:left="1701" w:firstLine="54"/>
        <w:contextualSpacing/>
        <w:jc w:val="both"/>
        <w:rPr>
          <w:rFonts w:ascii="Times New Roman" w:hAnsi="Times New Roman"/>
          <w:color w:val="000000" w:themeColor="text1"/>
        </w:rPr>
      </w:pPr>
      <w:r>
        <w:rPr>
          <w:rFonts w:ascii="Times New Roman" w:hAnsi="Times New Roman"/>
          <w:color w:val="000000" w:themeColor="text1"/>
        </w:rPr>
        <w:t>Ser bacharel em Direito;</w:t>
      </w:r>
    </w:p>
    <w:p>
      <w:pPr>
        <w:pStyle w:val="ListParagraph"/>
        <w:widowControl w:val="false"/>
        <w:numPr>
          <w:ilvl w:val="0"/>
          <w:numId w:val="4"/>
        </w:numPr>
        <w:spacing w:lineRule="auto" w:line="240" w:before="10" w:after="0"/>
        <w:ind w:left="1701" w:right="117" w:firstLine="54"/>
        <w:contextualSpacing/>
        <w:jc w:val="both"/>
        <w:rPr>
          <w:rFonts w:ascii="Times New Roman" w:hAnsi="Times New Roman"/>
          <w:color w:val="000000" w:themeColor="text1"/>
        </w:rPr>
      </w:pPr>
      <w:r>
        <w:rPr>
          <w:rFonts w:ascii="Times New Roman" w:hAnsi="Times New Roman"/>
          <w:color w:val="000000" w:themeColor="text1"/>
        </w:rPr>
        <w:t>Estar regularmente matriculado em curso de Pós-graduação, em nível de especialização, mestrado, doutorado ou pós-doutorado, em Direito;</w:t>
      </w:r>
    </w:p>
    <w:p>
      <w:pPr>
        <w:pStyle w:val="ListParagraph"/>
        <w:widowControl w:val="false"/>
        <w:numPr>
          <w:ilvl w:val="0"/>
          <w:numId w:val="4"/>
        </w:numPr>
        <w:spacing w:lineRule="auto" w:line="240" w:before="2" w:after="0"/>
        <w:ind w:left="1701" w:firstLine="54"/>
        <w:contextualSpacing/>
        <w:jc w:val="both"/>
        <w:rPr>
          <w:rFonts w:ascii="Times New Roman" w:hAnsi="Times New Roman"/>
          <w:color w:val="000000" w:themeColor="text1"/>
        </w:rPr>
      </w:pPr>
      <w:r>
        <w:rPr>
          <w:rFonts w:ascii="Times New Roman" w:hAnsi="Times New Roman"/>
          <w:color w:val="000000" w:themeColor="text1"/>
        </w:rPr>
        <w:t>Firmar termo de compromisso com a Defensoria Pública do Estado do Maranhão;</w:t>
      </w:r>
    </w:p>
    <w:p>
      <w:pPr>
        <w:pStyle w:val="ListParagraph"/>
        <w:widowControl w:val="false"/>
        <w:numPr>
          <w:ilvl w:val="0"/>
          <w:numId w:val="4"/>
        </w:numPr>
        <w:tabs>
          <w:tab w:val="clear" w:pos="708"/>
          <w:tab w:val="left" w:pos="573" w:leader="none"/>
        </w:tabs>
        <w:spacing w:lineRule="auto" w:line="240" w:before="10" w:after="0"/>
        <w:ind w:left="1701" w:right="112" w:firstLine="54"/>
        <w:contextualSpacing/>
        <w:jc w:val="both"/>
        <w:rPr>
          <w:rFonts w:ascii="Times New Roman" w:hAnsi="Times New Roman"/>
          <w:color w:val="000000" w:themeColor="text1"/>
        </w:rPr>
      </w:pPr>
      <w:r>
        <w:rPr>
          <w:rFonts w:ascii="Times New Roman" w:hAnsi="Times New Roman"/>
          <w:color w:val="000000" w:themeColor="text1"/>
        </w:rPr>
        <w:t>Comprovar, quando for o caso, estar em dia com as obrigações militares e no pleno gozo dos direitos políticos;</w:t>
      </w:r>
    </w:p>
    <w:p>
      <w:pPr>
        <w:pStyle w:val="ListParagraph"/>
        <w:widowControl w:val="false"/>
        <w:numPr>
          <w:ilvl w:val="0"/>
          <w:numId w:val="4"/>
        </w:numPr>
        <w:spacing w:lineRule="auto" w:line="240" w:before="2" w:after="0"/>
        <w:ind w:left="1701" w:right="118" w:firstLine="54"/>
        <w:contextualSpacing/>
        <w:jc w:val="both"/>
        <w:rPr>
          <w:rFonts w:ascii="Times New Roman" w:hAnsi="Times New Roman"/>
          <w:color w:val="000000" w:themeColor="text1"/>
        </w:rPr>
      </w:pPr>
      <w:r>
        <w:rPr>
          <w:rFonts w:ascii="Times New Roman" w:hAnsi="Times New Roman"/>
          <w:color w:val="000000" w:themeColor="text1"/>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tabs>
          <w:tab w:val="clear" w:pos="708"/>
          <w:tab w:val="left" w:pos="725" w:leader="none"/>
        </w:tabs>
        <w:spacing w:lineRule="auto" w:line="240" w:before="0" w:after="0"/>
        <w:ind w:left="724" w:hanging="15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3"/>
        </w:numPr>
        <w:spacing w:lineRule="auto" w:line="240" w:before="0" w:after="0"/>
        <w:ind w:left="2127" w:hanging="284"/>
        <w:contextualSpacing/>
        <w:jc w:val="both"/>
        <w:rPr>
          <w:rFonts w:ascii="Times New Roman" w:hAnsi="Times New Roman"/>
          <w:color w:val="000000" w:themeColor="text1"/>
        </w:rPr>
      </w:pPr>
      <w:r>
        <w:rPr>
          <w:rFonts w:ascii="Times New Roman" w:hAnsi="Times New Roman"/>
          <w:color w:val="000000" w:themeColor="text1"/>
        </w:rPr>
        <w:t>Possuir carga-horária mínima de 360 (trezentos e sessenta) horas-aula;</w:t>
      </w:r>
    </w:p>
    <w:p>
      <w:pPr>
        <w:pStyle w:val="ListParagraph"/>
        <w:widowControl w:val="false"/>
        <w:numPr>
          <w:ilvl w:val="0"/>
          <w:numId w:val="6"/>
        </w:numPr>
        <w:spacing w:lineRule="auto" w:line="240" w:before="10" w:after="0"/>
        <w:ind w:left="2127" w:right="117" w:hanging="308"/>
        <w:contextualSpacing/>
        <w:jc w:val="both"/>
        <w:rPr>
          <w:rFonts w:ascii="Times New Roman" w:hAnsi="Times New Roman"/>
          <w:color w:val="000000" w:themeColor="text1"/>
        </w:rPr>
      </w:pPr>
      <w:r>
        <w:rPr>
          <w:rFonts w:ascii="Times New Roman" w:hAnsi="Times New Roman"/>
          <w:color w:val="000000" w:themeColor="text1"/>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6"/>
        </w:numPr>
        <w:tabs>
          <w:tab w:val="clear" w:pos="708"/>
          <w:tab w:val="left" w:pos="567" w:leader="none"/>
        </w:tabs>
        <w:spacing w:lineRule="auto" w:line="240" w:before="2" w:after="0"/>
        <w:ind w:left="501" w:firstLine="1342"/>
        <w:contextualSpacing/>
        <w:jc w:val="both"/>
        <w:rPr>
          <w:rFonts w:ascii="Times New Roman" w:hAnsi="Times New Roman"/>
          <w:color w:val="000000" w:themeColor="text1"/>
        </w:rPr>
      </w:pPr>
      <w:r>
        <w:rPr>
          <w:rFonts w:ascii="Times New Roman" w:hAnsi="Times New Roman"/>
          <w:color w:val="000000" w:themeColor="text1"/>
        </w:rPr>
        <w:t>Ter autorização e reconhecimento do Ministério da Educação.</w:t>
      </w:r>
    </w:p>
    <w:p>
      <w:pPr>
        <w:pStyle w:val="Corpodotexto"/>
        <w:spacing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7"/>
        </w:numPr>
        <w:spacing w:lineRule="auto" w:line="240" w:before="1" w:after="0"/>
        <w:ind w:left="567"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rPr>
      </w:pPr>
      <w:r>
        <w:rPr>
          <w:rFonts w:ascii="Times New Roman" w:hAnsi="Times New Roman"/>
          <w:color w:val="000000" w:themeColor="text1"/>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color w:val="000000" w:themeColor="text1"/>
        </w:rPr>
      </w:pPr>
      <w:r>
        <w:rPr>
          <w:rFonts w:ascii="Times New Roman" w:hAnsi="Times New Roman"/>
          <w:color w:val="000000" w:themeColor="text1"/>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40" w:leader="none"/>
        </w:tabs>
        <w:spacing w:lineRule="auto" w:line="240" w:before="0" w:after="0"/>
        <w:ind w:left="1053" w:right="119" w:hanging="34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Normal"/>
        <w:widowControl w:val="false"/>
        <w:tabs>
          <w:tab w:val="clear" w:pos="708"/>
          <w:tab w:val="left" w:pos="740" w:leader="none"/>
        </w:tabs>
        <w:spacing w:lineRule="auto" w:line="240" w:before="0" w:after="0"/>
        <w:ind w:right="119"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7"/>
        </w:numPr>
        <w:tabs>
          <w:tab w:val="clear" w:pos="708"/>
          <w:tab w:val="left" w:pos="558" w:leader="none"/>
        </w:tabs>
        <w:ind w:left="557" w:hanging="278"/>
        <w:rPr>
          <w:rFonts w:cs="Times New Roman"/>
          <w:color w:val="000000" w:themeColor="text1"/>
          <w:szCs w:val="24"/>
        </w:rPr>
      </w:pPr>
      <w:r>
        <w:rPr>
          <w:rFonts w:cs="Times New Roman"/>
          <w:color w:val="000000" w:themeColor="text1"/>
          <w:szCs w:val="24"/>
        </w:rPr>
        <w:t xml:space="preserve">– </w:t>
      </w:r>
      <w:r>
        <w:rPr>
          <w:rFonts w:cs="Times New Roman"/>
          <w:color w:val="000000" w:themeColor="text1"/>
          <w:szCs w:val="24"/>
        </w:rPr>
        <w:t>DAS DISPOSIÇÕES FINAIS</w:t>
      </w:r>
    </w:p>
    <w:p>
      <w:pPr>
        <w:pStyle w:val="Corpodotexto"/>
        <w:spacing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7"/>
        </w:numPr>
        <w:tabs>
          <w:tab w:val="clear" w:pos="708"/>
          <w:tab w:val="left" w:pos="755" w:leader="none"/>
        </w:tabs>
        <w:spacing w:lineRule="auto" w:line="240" w:before="0" w:after="0"/>
        <w:ind w:left="993" w:right="122"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tabs>
          <w:tab w:val="clear" w:pos="708"/>
          <w:tab w:val="left" w:pos="755" w:leader="none"/>
        </w:tabs>
        <w:spacing w:lineRule="auto" w:line="240" w:before="0" w:after="0"/>
        <w:ind w:left="993" w:right="122"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40" w:leader="none"/>
        </w:tabs>
        <w:spacing w:lineRule="auto" w:line="240" w:before="0" w:after="0"/>
        <w:ind w:left="993" w:right="123"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Normal"/>
        <w:widowControl w:val="false"/>
        <w:tabs>
          <w:tab w:val="clear" w:pos="708"/>
          <w:tab w:val="left" w:pos="740" w:leader="none"/>
        </w:tabs>
        <w:spacing w:lineRule="auto" w:line="240" w:before="0" w:after="0"/>
        <w:ind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40" w:leader="none"/>
        </w:tabs>
        <w:spacing w:lineRule="auto" w:line="240" w:before="0" w:after="0"/>
        <w:ind w:left="993" w:right="111"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se obriga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tabs>
          <w:tab w:val="clear" w:pos="708"/>
          <w:tab w:val="left" w:pos="740" w:leader="none"/>
        </w:tabs>
        <w:spacing w:lineRule="auto" w:line="240" w:before="0" w:after="0"/>
        <w:ind w:left="993" w:right="11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40" w:leader="none"/>
        </w:tabs>
        <w:spacing w:lineRule="auto" w:line="240" w:before="0" w:after="0"/>
        <w:ind w:left="993" w:right="111"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Normal"/>
        <w:widowControl w:val="false"/>
        <w:tabs>
          <w:tab w:val="clear" w:pos="708"/>
          <w:tab w:val="left" w:pos="740" w:leader="none"/>
        </w:tabs>
        <w:spacing w:lineRule="auto" w:line="240" w:before="0" w:after="0"/>
        <w:ind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815" w:leader="none"/>
        </w:tabs>
        <w:spacing w:lineRule="auto" w:line="240" w:before="1" w:after="0"/>
        <w:ind w:left="993" w:right="111"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Normal"/>
        <w:widowControl w:val="false"/>
        <w:tabs>
          <w:tab w:val="clear" w:pos="708"/>
          <w:tab w:val="left" w:pos="815" w:leader="none"/>
        </w:tabs>
        <w:spacing w:lineRule="auto" w:line="240" w:before="1" w:after="0"/>
        <w:ind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1701" w:leader="none"/>
        </w:tabs>
        <w:spacing w:lineRule="auto" w:line="240" w:before="0" w:after="0"/>
        <w:ind w:left="993"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Normal"/>
        <w:widowControl w:val="false"/>
        <w:tabs>
          <w:tab w:val="clear" w:pos="708"/>
          <w:tab w:val="left" w:pos="1701" w:leader="none"/>
        </w:tabs>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25" w:leader="none"/>
        </w:tabs>
        <w:spacing w:lineRule="auto" w:line="240" w:before="0" w:after="0"/>
        <w:ind w:left="993"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tabs>
          <w:tab w:val="clear" w:pos="708"/>
          <w:tab w:val="left" w:pos="725" w:leader="none"/>
        </w:tabs>
        <w:spacing w:lineRule="auto" w:line="240" w:before="0" w:after="0"/>
        <w:ind w:left="993"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7"/>
        </w:numPr>
        <w:tabs>
          <w:tab w:val="clear" w:pos="708"/>
          <w:tab w:val="left" w:pos="755" w:leader="none"/>
        </w:tabs>
        <w:spacing w:lineRule="auto" w:line="240" w:before="0" w:after="0"/>
        <w:ind w:left="993" w:right="120"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before="94" w:after="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Publique-se e Cumpra-se     </w:t>
      </w:r>
    </w:p>
    <w:p>
      <w:pPr>
        <w:pStyle w:val="Corpodotexto"/>
        <w:spacing w:before="1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before="10" w:after="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São Luís/MA, 05 de maio de 2021.</w:t>
      </w:r>
    </w:p>
    <w:p>
      <w:pPr>
        <w:pStyle w:val="Corpodotexto"/>
        <w:spacing w:before="7"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before="7"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Spacing"/>
        <w:spacing w:before="120" w:after="120"/>
        <w:ind w:left="709" w:hanging="0"/>
        <w:jc w:val="center"/>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GABRIEL SANTANA FURTADO SOARES</w:t>
      </w:r>
    </w:p>
    <w:p>
      <w:pPr>
        <w:pStyle w:val="NoSpacing"/>
        <w:spacing w:before="120" w:after="120"/>
        <w:ind w:left="709" w:hanging="0"/>
        <w:jc w:val="center"/>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Subdefensor Público-Geral do Estado do Maranhão</w:t>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Ttulo1"/>
        <w:jc w:val="center"/>
        <w:rPr>
          <w:color w:val="000000" w:themeColor="text1"/>
        </w:rPr>
      </w:pPr>
      <w:r>
        <w:rPr>
          <w:color w:val="000000" w:themeColor="text1"/>
        </w:rPr>
        <w:t>ANEXO I – CRONOGRAMA</w:t>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kern w:val="0"/>
                <w:sz w:val="24"/>
                <w:szCs w:val="24"/>
                <w:lang w:val="pt-BR" w:eastAsia="pt-BR" w:bidi="ar-SA"/>
              </w:rPr>
              <w:t>ATIVIDADES</w:t>
            </w:r>
          </w:p>
        </w:tc>
        <w:tc>
          <w:tcPr>
            <w:tcW w:w="3886" w:type="dxa"/>
            <w:tcBorders/>
          </w:tcPr>
          <w:p>
            <w:pPr>
              <w:pStyle w:val="Normal"/>
              <w:widowControl/>
              <w:spacing w:lineRule="auto" w:line="240" w:before="0" w:after="0"/>
              <w:jc w:val="center"/>
              <w:rPr>
                <w:rFonts w:ascii="Times New Roman" w:hAnsi="Times New Roman"/>
                <w:b/>
                <w:b/>
                <w:color w:val="000000" w:themeColor="text1"/>
                <w:sz w:val="24"/>
                <w:szCs w:val="24"/>
              </w:rPr>
            </w:pPr>
            <w:r>
              <w:rPr>
                <w:rFonts w:ascii="Times New Roman" w:hAnsi="Times New Roman"/>
                <w:b/>
                <w:color w:val="000000" w:themeColor="text1"/>
                <w:kern w:val="0"/>
                <w:sz w:val="24"/>
                <w:szCs w:val="24"/>
                <w:lang w:val="pt-BR" w:eastAsia="pt-BR" w:bidi="ar-SA"/>
              </w:rPr>
              <w:t>PERÍODO</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Inscrições;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Das 08:00 horas do dia 10/05/2021 até as 23:59 horas do dia 14/05/2021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Divulgação da lista preliminar de candidatos inscritos;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19/05/2021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Abertura de prazo para interposição de recurso contra inscrições indeferidas;</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 xml:space="preserve">20/05/2021 </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 xml:space="preserve">Divulgação de informação do julgamento dos recursos, homologação das inscrições e divulgação do resultado preliminar da análise curricular; </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26/05/2021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Abertura de prazo para interposição de recurso contra análise curricular;</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27/05/2021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 xml:space="preserve">Divulgação de informação do julgamento dos recursos e convocação para prova dissertativa: </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31/05/2021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Prova Dissertativa;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04/06/2021</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Divulgação do resultado preliminar da prova Dissertativa;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 DEFINIR</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Abertura de prazo para interposição de recurso contra resultado da prova dissertativa;</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 DEFINIR</w:t>
            </w:r>
          </w:p>
        </w:tc>
      </w:tr>
      <w:tr>
        <w:trPr>
          <w:trHeight w:val="851" w:hRule="atLeast"/>
        </w:trPr>
        <w:tc>
          <w:tcPr>
            <w:tcW w:w="4607" w:type="dxa"/>
            <w:tcBorders/>
            <w:vAlign w:val="center"/>
          </w:tcPr>
          <w:p>
            <w:pPr>
              <w:pStyle w:val="Normal"/>
              <w:widowContro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 xml:space="preserve">Divulgação do resultado final; </w:t>
            </w:r>
          </w:p>
        </w:tc>
        <w:tc>
          <w:tcPr>
            <w:tcW w:w="3886" w:type="dxa"/>
            <w:tcBorders/>
            <w:vAlign w:val="center"/>
          </w:tcPr>
          <w:p>
            <w:pPr>
              <w:pStyle w:val="Normal"/>
              <w:widowControl/>
              <w:spacing w:lineRule="auto" w:line="240" w:before="0" w:after="0"/>
              <w:jc w:val="center"/>
              <w:rPr>
                <w:rFonts w:ascii="Times New Roman" w:hAnsi="Times New Roman"/>
                <w:color w:val="000000" w:themeColor="text1"/>
                <w:sz w:val="24"/>
                <w:szCs w:val="24"/>
              </w:rPr>
            </w:pPr>
            <w:r>
              <w:rPr>
                <w:rFonts w:ascii="Times New Roman" w:hAnsi="Times New Roman"/>
                <w:color w:val="000000" w:themeColor="text1"/>
                <w:kern w:val="0"/>
                <w:sz w:val="24"/>
                <w:szCs w:val="24"/>
                <w:lang w:val="pt-BR" w:eastAsia="pt-BR" w:bidi="ar-SA"/>
              </w:rPr>
              <w:t>A DEFINIR</w:t>
            </w:r>
          </w:p>
        </w:tc>
      </w:tr>
    </w:tbl>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jc w:val="center"/>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240" w:before="0" w:after="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widowControl w:val="false"/>
        <w:spacing w:lineRule="auto" w:line="240" w:before="0" w:after="0"/>
        <w:ind w:right="6" w:hanging="0"/>
        <w:rPr>
          <w:rFonts w:ascii="Times New Roman" w:hAnsi="Times New Roman"/>
          <w:b/>
          <w:b/>
          <w:bCs/>
          <w:color w:val="000000" w:themeColor="text1"/>
          <w:spacing w:val="-27"/>
          <w:sz w:val="24"/>
          <w:szCs w:val="24"/>
        </w:rPr>
      </w:pPr>
      <w:r>
        <w:rPr>
          <w:rFonts w:ascii="Times New Roman" w:hAnsi="Times New Roman"/>
          <w:b/>
          <w:bCs/>
          <w:color w:val="000000" w:themeColor="text1"/>
          <w:spacing w:val="-27"/>
          <w:sz w:val="24"/>
          <w:szCs w:val="24"/>
        </w:rPr>
      </w:r>
    </w:p>
    <w:p>
      <w:pPr>
        <w:pStyle w:val="Ttulo1"/>
        <w:numPr>
          <w:ilvl w:val="0"/>
          <w:numId w:val="5"/>
        </w:numPr>
        <w:tabs>
          <w:tab w:val="clear" w:pos="708"/>
          <w:tab w:val="left" w:pos="5265" w:leader="none"/>
        </w:tabs>
        <w:ind w:left="0" w:right="74" w:hanging="167"/>
        <w:jc w:val="center"/>
        <w:rPr>
          <w:rFonts w:cs="Times New Roman"/>
          <w:color w:val="000000" w:themeColor="text1"/>
          <w:szCs w:val="24"/>
        </w:rPr>
      </w:pPr>
      <w:r>
        <w:rPr>
          <w:rFonts w:cs="Times New Roman"/>
          <w:color w:val="000000" w:themeColor="text1"/>
          <w:szCs w:val="24"/>
        </w:rPr>
        <w:t>ANEXO II</w:t>
      </w:r>
    </w:p>
    <w:p>
      <w:pPr>
        <w:pStyle w:val="Corpodotexto"/>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TABELA DE PONTUAÇÃO</w:t>
      </w:r>
    </w:p>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tbl>
      <w:tblPr>
        <w:tblpPr w:bottomFromText="0" w:horzAnchor="margin" w:leftFromText="141" w:rightFromText="141" w:tblpX="0" w:tblpXSpec="center" w:tblpY="3061" w:topFromText="0" w:vertAnchor="page"/>
        <w:tblW w:w="1119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3261"/>
        <w:gridCol w:w="3402"/>
        <w:gridCol w:w="2268"/>
        <w:gridCol w:w="2267"/>
      </w:tblGrid>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center"/>
              <w:rPr>
                <w:rFonts w:ascii="Times New Roman" w:hAnsi="Times New Roman" w:eastAsia="Calibri" w:eastAsiaTheme="minorHAnsi"/>
                <w:color w:val="000000" w:themeColor="text1"/>
                <w:sz w:val="20"/>
                <w:szCs w:val="20"/>
                <w:lang w:val="en-US"/>
              </w:rPr>
            </w:pPr>
            <w:r>
              <w:rPr>
                <w:rFonts w:eastAsia="Calibri" w:ascii="Times New Roman" w:hAnsi="Times New Roman" w:eastAsiaTheme="minorHAnsi"/>
                <w:b/>
                <w:color w:val="000000" w:themeColor="text1"/>
                <w:sz w:val="20"/>
                <w:szCs w:val="20"/>
                <w:lang w:val="en-US"/>
              </w:rPr>
              <w:t>CATEGORIAS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center"/>
              <w:rPr>
                <w:rFonts w:ascii="Times New Roman" w:hAnsi="Times New Roman" w:eastAsia="Calibri" w:eastAsiaTheme="minorHAnsi"/>
                <w:color w:val="000000" w:themeColor="text1"/>
                <w:sz w:val="20"/>
                <w:szCs w:val="20"/>
                <w:lang w:val="en-US"/>
              </w:rPr>
            </w:pPr>
            <w:r>
              <w:rPr>
                <w:rFonts w:eastAsia="Calibri" w:ascii="Times New Roman" w:hAnsi="Times New Roman" w:eastAsiaTheme="minorHAnsi"/>
                <w:b/>
                <w:color w:val="000000" w:themeColor="text1"/>
                <w:sz w:val="20"/>
                <w:szCs w:val="20"/>
                <w:lang w:val="en-US"/>
              </w:rPr>
              <w:t>PONTUAÇÃO</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center"/>
              <w:rPr>
                <w:rFonts w:ascii="Times New Roman" w:hAnsi="Times New Roman" w:eastAsia="Calibri" w:eastAsiaTheme="minorHAnsi"/>
                <w:b/>
                <w:b/>
                <w:color w:val="000000" w:themeColor="text1"/>
                <w:sz w:val="20"/>
                <w:szCs w:val="20"/>
                <w:lang w:val="en-US"/>
              </w:rPr>
            </w:pPr>
            <w:r>
              <w:rPr>
                <w:rFonts w:eastAsia="Calibri" w:ascii="Times New Roman" w:hAnsi="Times New Roman" w:eastAsiaTheme="minorHAnsi"/>
                <w:b/>
                <w:color w:val="000000" w:themeColor="text1"/>
                <w:sz w:val="20"/>
                <w:szCs w:val="20"/>
                <w:lang w:val="en-US"/>
              </w:rPr>
              <w:t>PONTOS PRETENDIDOS</w:t>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center"/>
              <w:rPr>
                <w:rFonts w:ascii="Times New Roman" w:hAnsi="Times New Roman" w:eastAsia="Calibri" w:eastAsiaTheme="minorHAnsi"/>
                <w:b/>
                <w:b/>
                <w:color w:val="000000" w:themeColor="text1"/>
                <w:sz w:val="20"/>
                <w:szCs w:val="20"/>
                <w:lang w:val="en-US"/>
              </w:rPr>
            </w:pPr>
            <w:r>
              <w:rPr>
                <w:rFonts w:eastAsia="Calibri" w:ascii="Times New Roman" w:hAnsi="Times New Roman" w:eastAsiaTheme="minorHAnsi"/>
                <w:b/>
                <w:color w:val="000000" w:themeColor="text1"/>
                <w:sz w:val="20"/>
                <w:szCs w:val="20"/>
                <w:lang w:val="en-US"/>
              </w:rPr>
              <w:t>NÚMERO DA PÁGINA DO ARQUIVO PDF EM QUE CONSTA O DOCUMENTO COMPROBATÓRIO</w:t>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Atividade Jurídica em nível profissional;</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2,0 (dois) pontos para cada ano trabalhado, com limite máximo de 10 (dez)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Calibri" w:eastAsiaTheme="minorHAnsi"/>
                <w:color w:val="000000" w:themeColor="text1"/>
              </w:rPr>
            </w:pPr>
            <w:r>
              <w:rPr>
                <w:rFonts w:eastAsia="Times New Roman" w:ascii="Times New Roman" w:hAnsi="Times New Roman"/>
                <w:color w:val="000000" w:themeColor="text1"/>
                <w:lang w:eastAsia="pt-BR"/>
              </w:rPr>
              <w:t>Experiência de Estágio Jurídico Extracurricular na área Cível;</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color w:val="000000" w:themeColor="text1"/>
              </w:rPr>
            </w:pPr>
            <w:r>
              <w:rPr>
                <w:rFonts w:eastAsia="Times New Roman" w:ascii="Times New Roman" w:hAnsi="Times New Roman"/>
                <w:color w:val="000000" w:themeColor="text1"/>
                <w:lang w:eastAsia="pt-BR"/>
              </w:rPr>
              <w:t>1,0 (um) ponto para cada semestre trabalhado, com limite máximo de 4,0 (quatro)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 xml:space="preserve">Experiência de Estágio Jurídico nas demais áreas; </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0,5 (cinco décimos) ponto para cada semestre trabalhado, com limite máximo de 3,0 (três)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Cursos de extensão na área de Mediação e Conciliação ou Direito Civil;</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r>
          </w:p>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 xml:space="preserve">1,0 (um) ponto para cada curso, com limite máximo de 3,0 (três) pontos. </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 xml:space="preserve">Cursos de Extensão nas demais áreas; </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0,5 (cinco décimos) ponto para cada curso, com limite máximo de 5,0 (cinco)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Participação em grupos de estudos ou Exercício da função de monitoria na área de Direito, vinculados a Instituição de Ensino Superior;</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1,0 (um) ponto por monitoria ou grupo de estudo, com limite máximo de 5,0 (cinco)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24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Publicação de Artigo Jurídico, apresentação de trabalho ou banner;</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1,0 (um) ponto por artigo ou apresentação, com limite máximo de 5,0 (cinco)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Pós-Graduação “Lato Sensu”, em nível de Especialização na área de Direito;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2,5 (dois pontos e cinco décimos) pontos, com limite máximo de 5,0 (cinco)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r>
        <w:trPr/>
        <w:tc>
          <w:tcPr>
            <w:tcW w:w="326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Pós-Graduação “Stricto Sensu”, em nível de Mestrado na área de Direito, em andamento ou finalizada:</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jc w:val="both"/>
              <w:rPr>
                <w:rFonts w:ascii="Times New Roman" w:hAnsi="Times New Roman" w:eastAsia="Times New Roman"/>
                <w:color w:val="000000" w:themeColor="text1"/>
                <w:lang w:eastAsia="pt-BR"/>
              </w:rPr>
            </w:pPr>
            <w:r>
              <w:rPr>
                <w:rFonts w:eastAsia="Times New Roman" w:ascii="Times New Roman" w:hAnsi="Times New Roman"/>
                <w:color w:val="000000" w:themeColor="text1"/>
                <w:lang w:eastAsia="pt-BR"/>
              </w:rPr>
              <w:t>5,0 (cinco) pontos, com limite máximo de 5,0 (cinco) pontos;</w:t>
            </w:r>
          </w:p>
        </w:tc>
        <w:tc>
          <w:tcPr>
            <w:tcW w:w="22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2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r>
    </w:tbl>
    <w:p>
      <w:pPr>
        <w:pStyle w:val="Corpodotexto"/>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ind w:firstLine="279"/>
        <w:jc w:val="center"/>
        <w:rPr>
          <w:rFonts w:ascii="Times New Roman" w:hAnsi="Times New Roman" w:eastAsia="Times New Roman"/>
          <w:color w:val="000000" w:themeColor="text1"/>
          <w:lang w:eastAsia="zh-CN"/>
        </w:rPr>
      </w:pPr>
      <w:r>
        <w:rPr>
          <w:rFonts w:cs="Times New Roman" w:ascii="Times New Roman" w:hAnsi="Times New Roman"/>
          <w:b/>
          <w:color w:val="000000" w:themeColor="text1"/>
          <w:sz w:val="24"/>
          <w:szCs w:val="24"/>
        </w:rPr>
        <w:t>ANEXO III - CONTEÚDO PROGRAMÁTICO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r>
    </w:p>
    <w:p>
      <w:pPr>
        <w:pStyle w:val="Normal"/>
        <w:widowControl w:val="false"/>
        <w:spacing w:lineRule="auto" w:line="276" w:before="0" w:after="0"/>
        <w:jc w:val="both"/>
        <w:rPr>
          <w:rFonts w:ascii="Times New Roman" w:hAnsi="Times New Roman" w:eastAsia="Times New Roman"/>
          <w:b/>
          <w:b/>
          <w:color w:val="000000" w:themeColor="text1"/>
          <w:lang w:eastAsia="zh-CN"/>
        </w:rPr>
      </w:pPr>
      <w:r>
        <w:rPr>
          <w:rFonts w:eastAsia="Times New Roman" w:ascii="Times New Roman" w:hAnsi="Times New Roman"/>
          <w:b/>
          <w:color w:val="000000" w:themeColor="text1"/>
          <w:lang w:eastAsia="zh-CN"/>
        </w:rPr>
        <w:t>DIREITO CONSTITUCIONAL</w:t>
      </w:r>
    </w:p>
    <w:p>
      <w:pPr>
        <w:pStyle w:val="Normal"/>
        <w:numPr>
          <w:ilvl w:val="0"/>
          <w:numId w:val="14"/>
        </w:numPr>
        <w:tabs>
          <w:tab w:val="clear" w:pos="708"/>
          <w:tab w:val="left" w:pos="284" w:leader="none"/>
        </w:tabs>
        <w:spacing w:lineRule="auto" w:line="276" w:before="0" w:after="0"/>
        <w:ind w:left="0" w:hanging="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shd w:fill="FFFFFF" w:val="clear"/>
          <w:lang w:eastAsia="pt-BR"/>
        </w:rPr>
        <w:t>Introdução ao Direito Constitucional – estrutura da Constituição, conceito e noções.</w:t>
      </w:r>
    </w:p>
    <w:p>
      <w:pPr>
        <w:pStyle w:val="Normal"/>
        <w:numPr>
          <w:ilvl w:val="0"/>
          <w:numId w:val="14"/>
        </w:numPr>
        <w:tabs>
          <w:tab w:val="clear" w:pos="708"/>
          <w:tab w:val="left" w:pos="284" w:leader="none"/>
        </w:tabs>
        <w:spacing w:lineRule="auto" w:line="276" w:before="0" w:after="0"/>
        <w:ind w:left="0" w:hanging="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shd w:fill="FFFFFF" w:val="clear"/>
          <w:lang w:eastAsia="pt-BR"/>
        </w:rPr>
        <w:t>Constitucionalismo: primitivo, antigo, medieval, na Idade Moderna, norte-americano, moderno, social e contemporâneo/neoconstitucionalismo.</w:t>
      </w:r>
    </w:p>
    <w:p>
      <w:pPr>
        <w:pStyle w:val="Normal"/>
        <w:numPr>
          <w:ilvl w:val="0"/>
          <w:numId w:val="14"/>
        </w:numPr>
        <w:tabs>
          <w:tab w:val="clear" w:pos="708"/>
          <w:tab w:val="left" w:pos="284" w:leader="none"/>
        </w:tabs>
        <w:spacing w:lineRule="auto" w:line="276" w:before="0" w:after="0"/>
        <w:ind w:left="0" w:hanging="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shd w:fill="FFFFFF" w:val="clear"/>
          <w:lang w:eastAsia="pt-BR"/>
        </w:rPr>
        <w:t xml:space="preserve">Princípios Constitucionais </w:t>
      </w:r>
    </w:p>
    <w:p>
      <w:pPr>
        <w:pStyle w:val="Normal"/>
        <w:numPr>
          <w:ilvl w:val="0"/>
          <w:numId w:val="14"/>
        </w:numPr>
        <w:tabs>
          <w:tab w:val="clear" w:pos="708"/>
          <w:tab w:val="left" w:pos="284" w:leader="none"/>
        </w:tabs>
        <w:spacing w:lineRule="auto" w:line="276" w:before="0" w:after="0"/>
        <w:ind w:left="0" w:hanging="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shd w:fill="FFFFFF" w:val="clear"/>
          <w:lang w:eastAsia="pt-BR"/>
        </w:rPr>
        <w:t>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w:t>
      </w:r>
    </w:p>
    <w:p>
      <w:pPr>
        <w:pStyle w:val="Normal"/>
        <w:widowControl w:val="false"/>
        <w:numPr>
          <w:ilvl w:val="0"/>
          <w:numId w:val="14"/>
        </w:numPr>
        <w:spacing w:lineRule="auto" w:line="276" w:before="0" w:after="0"/>
        <w:ind w:left="0" w:hanging="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 </w:t>
      </w:r>
      <w:r>
        <w:rPr>
          <w:rFonts w:eastAsia="Times New Roman" w:ascii="Times New Roman" w:hAnsi="Times New Roman"/>
          <w:color w:val="000000" w:themeColor="text1"/>
          <w:lang w:eastAsia="zh-CN"/>
        </w:rPr>
        <w:t xml:space="preserve">Princípios Fundamentais </w:t>
      </w:r>
    </w:p>
    <w:p>
      <w:pPr>
        <w:pStyle w:val="Normal"/>
        <w:widowControl w:val="false"/>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5.1. Direitos e Garantias Fundamentais </w:t>
      </w:r>
    </w:p>
    <w:p>
      <w:pPr>
        <w:pStyle w:val="Normal"/>
        <w:widowControl w:val="false"/>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6. Organização do Estado </w:t>
      </w:r>
    </w:p>
    <w:p>
      <w:pPr>
        <w:pStyle w:val="Normal"/>
        <w:widowControl w:val="false"/>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7. Organização dos Poderes</w:t>
      </w:r>
      <w:r>
        <w:rPr>
          <w:rFonts w:eastAsia="Times New Roman" w:ascii="Times New Roman" w:hAnsi="Times New Roman"/>
          <w:color w:val="000000" w:themeColor="text1"/>
          <w:shd w:fill="FFFFFF" w:val="clear"/>
          <w:lang w:eastAsia="pt-BR"/>
        </w:rPr>
        <w:t xml:space="preserve"> Poder Judiciário. Súmula Vinculante. Poder Legislativo. Poder Executivo. Funções Essenciais à Justiça: Ministério Público. Funções Essenciais à Justiça: Advocacia Pública e Advocacia Privada. Funções Essenciais à Justiça: Defensoria Pública.</w:t>
      </w:r>
    </w:p>
    <w:p>
      <w:pPr>
        <w:pStyle w:val="Normal"/>
        <w:widowControl w:val="false"/>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8. Ordem Social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9. </w:t>
      </w:r>
      <w:r>
        <w:rPr>
          <w:rFonts w:eastAsia="Times New Roman" w:ascii="Times New Roman" w:hAnsi="Times New Roman"/>
          <w:color w:val="000000" w:themeColor="text1"/>
          <w:shd w:fill="FFFFFF" w:val="clear"/>
          <w:lang w:eastAsia="pt-BR"/>
        </w:rPr>
        <w:t>Controle de Constitucionalidade. Processo evolutivo, sistemas e métodos de controle de constitucionalidade. Ações do controle concentrado. Ação Direta de Inconstitucionalidade - ADIN. Ação Declaratória de Constitucionalidade - ADECON. ADO e ADPF.</w:t>
      </w:r>
    </w:p>
    <w:p>
      <w:pPr>
        <w:pStyle w:val="Normal"/>
        <w:widowControl w:val="false"/>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10. Remédios Constitucionais</w:t>
      </w:r>
    </w:p>
    <w:p>
      <w:pPr>
        <w:pStyle w:val="Normal"/>
        <w:spacing w:lineRule="auto" w:line="276" w:before="0" w:after="0"/>
        <w:jc w:val="both"/>
        <w:rPr>
          <w:rFonts w:ascii="Times New Roman" w:hAnsi="Times New Roman" w:eastAsia="Times New Roman"/>
          <w:bCs/>
          <w:color w:val="000000" w:themeColor="text1"/>
          <w:lang w:eastAsia="zh-CN"/>
        </w:rPr>
      </w:pPr>
      <w:r>
        <w:rPr>
          <w:rFonts w:eastAsia="Times New Roman" w:ascii="Times New Roman" w:hAnsi="Times New Roman"/>
          <w:bCs/>
          <w:color w:val="000000" w:themeColor="text1"/>
          <w:lang w:eastAsia="zh-CN"/>
        </w:rPr>
      </w:r>
    </w:p>
    <w:p>
      <w:pPr>
        <w:pStyle w:val="Normal"/>
        <w:spacing w:lineRule="auto" w:line="276" w:before="0" w:after="0"/>
        <w:jc w:val="both"/>
        <w:rPr>
          <w:rFonts w:ascii="Times New Roman" w:hAnsi="Times New Roman" w:eastAsia="Times New Roman"/>
          <w:b/>
          <w:b/>
          <w:color w:val="000000" w:themeColor="text1"/>
          <w:lang w:eastAsia="zh-CN"/>
        </w:rPr>
      </w:pPr>
      <w:r>
        <w:rPr>
          <w:rFonts w:eastAsia="Times New Roman" w:ascii="Times New Roman" w:hAnsi="Times New Roman"/>
          <w:b/>
          <w:bCs/>
          <w:color w:val="000000" w:themeColor="text1"/>
          <w:lang w:eastAsia="zh-CN"/>
        </w:rPr>
        <w:t>DIREITO CIVIL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1. Teoria Geral de Direito Civil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1.1. Lei de Introdução ao Código Civil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1.2. Personalidade Jurídica e Direitos da Personalidade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1.3. Pessoa Natural. Capacidade Civil. Teoria das Incapacidades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1.4. Pessoa Jurídica. Classificação. Desconsideração da Personalidade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Jurídica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1.5. Bens Jurídicos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1.6. Teoria Geral dos Fatos Jurídicos. Ato Jurídico. Negócio Jurídico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Defeitos do Negócio Jurídico. Fato Ilícito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1.7. Prescrição e Decadência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2. Teoria Geral das Obrigações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2.1. Classificação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2.2. Transmissão das Obrigações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2.3. Adimplemento e Extinção das Obrigações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2.4. Inadimplemento das Obrigações. Mora. Consequência do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Inadimplemento das Obrigações. Perdas e Danos. Juros. Cláusula Penal.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Arras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3. Contratos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3.1. Formação dos Contratos. Principiologia Contratual. Classificação 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Qualificação dos Contratos. Interpretação dos Contratos. Cessão dos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Contratos. Relatividades dos Contratos. Efeitos dos Contratos. Extinção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dos Contratos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3.2. Contrato de Compra e Venda. Doação. Transporte. Fiança e Transação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3.3. Contratos no Código de Defesa do Consumidor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3.4. Responsabilidade Civil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4. Direitos Reais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4.1. Posse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4.2. Propriedade. Usucapião. Condomínio. Direitos de Vizinhança. Perda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da Propriedade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4.3 Superfície; servidões; usufruto; uso; habitação; promessa de compra e venda; penhor, hipoteca e anticrese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5. Direito das Famílias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5.1. Princípios Constitucionais do Direito das Famílias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5.2. Casamento. Regime de Bens. Dissolução do Casamento (Divórcio).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5.3. União Estável.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5.4. Filiação e Reconhecimento de Filhos.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5.5. Tutela e Curatela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5.6. Sucessões; Sucessão Legítima; Sucessão Testamentária; Inventário e Partilha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 Alimentos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7. Lei da Ação de Alimentos - Leis nº. 5.478/68,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8. Lei dos Registros Públicos – Lei 6.015/73,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9. Lei do Divórcio – Lei 6.515/77,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10. Lei que regula a Investigação de Paternidade - Lei 8.560/92,</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11. Lei do Direito dos companheiros a alimentos e à sucessão – Lei 8.971/94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12. Lei que regula o § 3° do art. 226 da Constituição Federal – Lei 9.278/96</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13. Estatuto da Pessoa com Deficiência.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r>
    </w:p>
    <w:p>
      <w:pPr>
        <w:pStyle w:val="Normal"/>
        <w:spacing w:lineRule="auto" w:line="276" w:before="0" w:after="0"/>
        <w:jc w:val="both"/>
        <w:rPr>
          <w:rFonts w:ascii="Times New Roman" w:hAnsi="Times New Roman" w:eastAsia="Times New Roman"/>
          <w:b/>
          <w:b/>
          <w:color w:val="000000" w:themeColor="text1"/>
          <w:lang w:eastAsia="zh-CN"/>
        </w:rPr>
      </w:pPr>
      <w:r>
        <w:rPr>
          <w:rFonts w:eastAsia="Times New Roman" w:ascii="Times New Roman" w:hAnsi="Times New Roman"/>
          <w:b/>
          <w:bCs/>
          <w:color w:val="000000" w:themeColor="text1"/>
          <w:lang w:eastAsia="zh-CN"/>
        </w:rPr>
        <w:t>DIREITO PROCESSUAL CIVIL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1. Trilogia estrutural do processo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1.1. Componentes (jurisdição, processo e ação).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1.2. Jurisdição: conceitos político e jurídico; classificação; distinção entre a função jurisdicional e as demais funções estatais; princípios; classificações; limites; equivalentes jurisdicionais.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1.3. Processo: conceito; natureza jurídica; características da relação jurídica processual; princípios; espécies; relação com o procedimento; espécies de procedimentos; princípios procedimentais; pressupostos processuais; formação, suspensão e extinção do processo.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1.4. Ação: conceito, natureza jurídica; condições da ação; componentes; comparação entre as ações; cumulação de ações; julgamento da demanda (juízo de admissibilidade e juízo de admissibilidade de mérito).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2. Sujeitos do processo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2.1. Sujeitos do processo (partes, juízes e auxiliares).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2.2. Representantes processuais.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2.3. Substituição e sucessão processual.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2.4. Tratamento procedimental especial do idoso e do enfermo.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2.5. Curadoria especial.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2.6. Deveres das partes e seus procuradores.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2.7. Responsabilidade civil processual.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2.8. Litisconsórcio: conceito; espécies; princípios.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2.9. Defensoria Pública: aspectos processuais (intimação, prazo).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3. Intervenção de terceiro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3.1. Conceito; classificações; efeitos.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3.2. Modalidades de intervenção de terceiro: assistência; oposição; nomeação à autoria; denunciação da lide; chamamento ao processo; recurso de terceiro.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4. Competência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4.1. Conceito; classificação; princípios; critérios de fixação (territorial,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objetivo e funcional).</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4.2. Distribuição.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4.3. Modificação da competência.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4.4. Incompetência: conceito; classificação; efeitos; arguição.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5. Atos processuais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5.1. Classificação; princípios.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5.2. Forma, tempo e lugar dos atos; prazos processuais.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5.3. Comunicações dos atos (cartas, citação, intimação e ofícios).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5.4. Teoria das nulidades.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6. Processo de conhecimento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6.1. Petição inicial: requisitos; emenda; complemento; julgamento liminar.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6.2. Resposta do réu: espécies; regras.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6.3. Tutela de urgência (tutela antecipada, tutela inibitória e tutela cautelar).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6.4. Providências preliminares (réplica, especificação em provas 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manifestação sobre o interesse na realização da audiência preliminar)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6.5. Julgamento conforme o estado do processo (extinção do processo e julgamento antecipado da lide).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6.6. Saneamento do processo (audiência preliminar e despacho saneador)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6.7. Direito probatório: Teoria geral das provas; provas em espécie.</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6.8. Audiência de instrução e julgamento: características; etapas.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6.9. Sentença: requisitos; efeitos; reexame necessário.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6.10. Coisa julgada: conceito; características; limites;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Cs/>
          <w:color w:val="000000" w:themeColor="text1"/>
          <w:lang w:eastAsia="zh-CN"/>
        </w:rPr>
        <w:t>7. Recursos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7.2. Recursos em espécie: apelação; agravos; embargos de declaração; recurso ordinário; recurso excepcional (extraordinário e especial); embargos de divergência.</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8. Execução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8.1. Execução em geral – das modalidades de execução;</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8.2. Execução de prestação alimentícia;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9. Processo Cautelar</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9.1. Disposições gerais; busca e apreensão, alimentos provisionais e arrolamento de bens</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10. Cumprimento de Sentença.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b/>
          <w:color w:val="000000" w:themeColor="text1"/>
          <w:lang w:eastAsia="zh-CN"/>
        </w:rPr>
        <w:t>DEFENSORIA PÚBLICA:</w:t>
      </w:r>
      <w:r>
        <w:rPr>
          <w:rFonts w:eastAsia="Times New Roman" w:ascii="Times New Roman" w:hAnsi="Times New Roman"/>
          <w:color w:val="000000" w:themeColor="text1"/>
          <w:lang w:eastAsia="zh-CN"/>
        </w:rPr>
        <w:t xml:space="preserve">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 A evolução histórica da prestação da assistência jurídica;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2. Gratuidade judiciária, assistência judiciária, e assistência jurídica: conceito e operacionalização;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3. Panorama da Defensoria Pública no Brasil;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4. Acesso à Justiça formal e material: atuação individual, coletiva e meios extrajudiciais de solução de conflitos.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5. Defensoria Pública e democracia;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6. Defensoria Pública e sociedade civil;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7. Defensoria Pública no Direito Internacional dos Direitos Humanos; Resoluções 2.656/11 e 2714/12 da OEA inclusive;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8. O Estatuto Constitucional da Defensoria Pública: modelos de prestação de assistência jurídica e a opção político-constitucional de 1988; diferenças e semelhanças em relação ao estatuto constitucional das demais carreiras do sistema de justiça; autonomia constitucional; princípios, objetivos e funções institucionais; deveres, garantias e prerrogativas; vedações constitucionais e infraconstitucionais; direitos dos assistidos; competência para legislar sobre a Defensoria Pública; o estatuto constitucional do servidor público; o controle externo das instituições e órgãos públicos;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9. Lei Federal nº 1.060/50;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10. Defensoria Pública da União e do Distrito Federal e Territórios;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 xml:space="preserve">11. Lei Orgânica Nacional da Defensoria Pública (Lei Complementar n. 80/94) e alterações; </w:t>
      </w:r>
    </w:p>
    <w:p>
      <w:pPr>
        <w:pStyle w:val="Normal"/>
        <w:spacing w:lineRule="auto" w:line="276" w:before="0" w:after="0"/>
        <w:jc w:val="both"/>
        <w:rPr>
          <w:rFonts w:ascii="Times New Roman" w:hAnsi="Times New Roman" w:eastAsia="Times New Roman"/>
          <w:color w:val="000000" w:themeColor="text1"/>
          <w:lang w:eastAsia="zh-CN"/>
        </w:rPr>
      </w:pPr>
      <w:r>
        <w:rPr>
          <w:rFonts w:eastAsia="Times New Roman" w:ascii="Times New Roman" w:hAnsi="Times New Roman"/>
          <w:color w:val="000000" w:themeColor="text1"/>
          <w:lang w:eastAsia="zh-CN"/>
        </w:rPr>
        <w:t>12. Lei Orgânica da Defensoria Pública do Estado do Maranhão (Lei Complementar 19/94) e alterações.</w:t>
      </w:r>
    </w:p>
    <w:p>
      <w:pPr>
        <w:pStyle w:val="Normal"/>
        <w:jc w:val="both"/>
        <w:rPr>
          <w:rFonts w:ascii="Times New Roman" w:hAnsi="Times New Roman"/>
          <w:color w:val="000000" w:themeColor="text1"/>
        </w:rPr>
      </w:pPr>
      <w:r>
        <w:rPr>
          <w:rFonts w:ascii="Times New Roman" w:hAnsi="Times New Roman"/>
          <w:color w:val="000000" w:themeColor="text1"/>
        </w:rPr>
      </w:r>
    </w:p>
    <w:p>
      <w:pPr>
        <w:pStyle w:val="Normal"/>
        <w:spacing w:before="0" w:after="0"/>
        <w:jc w:val="both"/>
        <w:rPr>
          <w:rFonts w:ascii="Times New Roman" w:hAnsi="Times New Roman"/>
          <w:b/>
          <w:b/>
          <w:color w:val="000000" w:themeColor="text1"/>
        </w:rPr>
      </w:pPr>
      <w:r>
        <w:rPr>
          <w:rFonts w:ascii="Times New Roman" w:hAnsi="Times New Roman"/>
          <w:b/>
          <w:color w:val="000000" w:themeColor="text1"/>
        </w:rPr>
        <w:t xml:space="preserve">DIREITOS HUMANOS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1. Parte Geral: Os fundamentos filosóficos dos Direitos Humanos. Universalismo e relativismo cultural.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2. A evolução histórica dos Direitos Humanos.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3. Direitos humanos na constituição federal brasileira de 1988.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4. O sistema internacional de proteção e promoção dos Direitos Humanos: Organização das Nações Unidas (ONU). Declarações, tratados, resoluções, comentários gerais, relatórios e normas de organização e funcionamento dos órgãos de supervisão, fiscalização e controle.</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rPr>
        <w:t xml:space="preserve">5. Órgãos convencionais e extraconvencionais.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6. Declaração Universal dos Direitos Humanos.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7. Sistema Regional Interamericano de Proteção aos Direitos Humanos. Organização dos Estados Americanos (OEA). Comissão Interamericana de Direitos Humanos: relatórios de casos, medidas cautelares, relatórios anuais e relatoria para a liberdade de expressão. Corte Interamericana de Direitos Humanos. Convenção Americana de Direitos Humanos. Protocolo adicional à convenção americana sobre Direitos Humanos em matéria de direitos econômicos, sociais e culturais – Protocolo de San Salvador. Convenção Interamericana para prevenir e punir a tortura. Protocolo à Convenção Americana sobre direitos humanos relativo à abolição da pena de morte. Convenção Interamericana para prevenir, punir e erradicar a violência contra mulher. Convenção Interamericana contra a corrupção. Convenção Interamericana sobre a eliminação de todas as formas de discriminação contra pessoas portadoras de deficiência.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08. Direito internacional dos Direitos Humanos: fontes, classificação princípios, características e teoria das gerações de direitos humanos. Normas de interpretação dos tratados de Direitos Humanos. Resolução de conflitos ante a colisão de direitos humanos. A responsabilidade internacional por violação dos direitos humanos: tratados internacionais de direitos humanos e as obrigações assumidas pelo Brasil, formas de reparação e sanções coletivas e unilaterais.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09. Direitos Humanos e acesso à justiça: o dever dos estados de promover o acesso à justiça, 100 Regras de Brasília e desenvolvimentos no âmbito da organização dos estados americanos relacionados à Defensoria Pública.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10. Direitos Humanos em Espécie e Grupos vulneráveis. Direitos Humanos das minorias e grupos vulneráveis: Mulher, Discriminação racial, Diversidade sexual, Criança e Adolescente, Idoso, Pessoa com Deficiência, Pessoas em situação de rua, Povos Indígenas Quilombolas, Imigrantes e Refugiados.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 xml:space="preserve">11. Comissão Nacional da Verdade: histórico, 23 atribuições, legislação, audiências públicas e relatórios. </w:t>
      </w:r>
    </w:p>
    <w:p>
      <w:pPr>
        <w:pStyle w:val="Normal"/>
        <w:spacing w:before="0" w:after="0"/>
        <w:jc w:val="both"/>
        <w:rPr>
          <w:rFonts w:ascii="Times New Roman" w:hAnsi="Times New Roman"/>
          <w:color w:val="000000" w:themeColor="text1"/>
        </w:rPr>
      </w:pPr>
      <w:r>
        <w:rPr>
          <w:rFonts w:ascii="Times New Roman" w:hAnsi="Times New Roman"/>
          <w:color w:val="000000" w:themeColor="text1"/>
        </w:rPr>
        <w:t>12. Mecanismos de proteção aos direitos humanos na Constituição Federal brasileira de 1988. Federalização de crimes graves contra os Direitos Humanos. Remédios constitucionais.</w:t>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0"/>
      </w:numPr>
      <w:spacing w:before="0" w:after="0"/>
      <w:jc w:val="center"/>
      <w:rPr>
        <w:rFonts w:ascii="Ecofont Vera Sans" w:hAnsi="Ecofont Vera Sans"/>
        <w:color w:val="auto"/>
        <w:sz w:val="20"/>
      </w:rPr>
    </w:pPr>
    <w:r>
      <mc:AlternateContent>
        <mc:Choice Requires="wps">
          <w:drawing>
            <wp:anchor behindDoc="1" distT="0" distB="0" distL="0" distR="0" simplePos="0" locked="0" layoutInCell="0" allowOverlap="1" relativeHeight="20" wp14:anchorId="7F5B57F7">
              <wp:simplePos x="0" y="0"/>
              <wp:positionH relativeFrom="column">
                <wp:posOffset>509270</wp:posOffset>
              </wp:positionH>
              <wp:positionV relativeFrom="paragraph">
                <wp:posOffset>-32385</wp:posOffset>
              </wp:positionV>
              <wp:extent cx="4569460" cy="1270"/>
              <wp:effectExtent l="19050" t="19050" r="41910" b="38100"/>
              <wp:wrapNone/>
              <wp:docPr id="2" name="Conector reto 2"/>
              <a:graphic xmlns:a="http://schemas.openxmlformats.org/drawingml/2006/main">
                <a:graphicData uri="http://schemas.microsoft.com/office/word/2010/wordprocessingShape">
                  <wps:wsp>
                    <wps:cNvSpPr/>
                    <wps:spPr>
                      <a:xfrm>
                        <a:off x="0" y="0"/>
                        <a:ext cx="456876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55pt" to="399.8pt,-2.55pt" ID="Conector reto 2" stroked="t" style="position:absolute" wp14:anchorId="7F5B57F7">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0" distT="0" distB="0" distL="0" distR="0" simplePos="0" locked="0" layoutInCell="0" allowOverlap="1" relativeHeight="39">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4">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5">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6">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7">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8">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9">
    <w:lvl w:ilvl="0">
      <w:start w:val="9"/>
      <w:numFmt w:val="decimal"/>
      <w:lvlText w:val="%1"/>
      <w:lvlJc w:val="left"/>
      <w:pPr>
        <w:tabs>
          <w:tab w:val="num" w:pos="0"/>
        </w:tabs>
        <w:ind w:left="360" w:hanging="360"/>
      </w:pPr>
      <w:rPr>
        <w:b/>
        <w:bCs/>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lvl w:ilvl="0">
      <w:start w:val="7"/>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2">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3">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720" w:hanging="360"/>
      </w:pPr>
      <w:rPr>
        <w:sz w:val="24"/>
        <w:szCs w:val="24"/>
        <w:lang w:eastAsia="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62b7"/>
    <w:pPr>
      <w:widowControl/>
      <w:suppressAutoHyphens w:val="true"/>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3e62b7"/>
    <w:pPr>
      <w:widowControl w:val="false"/>
      <w:spacing w:lineRule="auto" w:line="240" w:before="0" w:after="0"/>
      <w:ind w:left="446" w:hanging="167"/>
      <w:jc w:val="both"/>
      <w:outlineLvl w:val="0"/>
    </w:pPr>
    <w:rPr>
      <w:rFonts w:ascii="Times New Roman" w:hAnsi="Times New Roman" w:eastAsia="Arial" w:cs="Arial"/>
      <w:b/>
      <w:bCs/>
      <w:sz w:val="24"/>
      <w:szCs w:val="20"/>
      <w:lang w:val="pt-PT" w:eastAsia="pt-PT" w:bidi="pt-PT"/>
    </w:rPr>
  </w:style>
  <w:style w:type="paragraph" w:styleId="Ttulo5">
    <w:name w:val="Heading 5"/>
    <w:basedOn w:val="Normal"/>
    <w:link w:val="Ttulo5Char"/>
    <w:qFormat/>
    <w:rsid w:val="003e62b7"/>
    <w:pPr>
      <w:keepNext w:val="true"/>
      <w:widowControl w:val="fals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3e62b7"/>
    <w:rPr>
      <w:rFonts w:ascii="Times New Roman" w:hAnsi="Times New Roman" w:eastAsia="Arial" w:cs="Arial"/>
      <w:b/>
      <w:bCs/>
      <w:sz w:val="24"/>
      <w:szCs w:val="20"/>
      <w:lang w:val="pt-PT" w:eastAsia="pt-PT" w:bidi="pt-PT"/>
    </w:rPr>
  </w:style>
  <w:style w:type="character" w:styleId="Ttulo5Char" w:customStyle="1">
    <w:name w:val="Título 5 Char"/>
    <w:basedOn w:val="DefaultParagraphFont"/>
    <w:link w:val="Ttulo5"/>
    <w:qFormat/>
    <w:rsid w:val="003e62b7"/>
    <w:rPr>
      <w:rFonts w:ascii="Times New Roman" w:hAnsi="Times New Roman" w:eastAsia="Times New Roman" w:cs="Times New Roman"/>
      <w:i/>
      <w:color w:val="00000A"/>
      <w:kern w:val="2"/>
      <w:sz w:val="16"/>
      <w:szCs w:val="20"/>
      <w:lang w:eastAsia="pt-BR"/>
    </w:rPr>
  </w:style>
  <w:style w:type="character" w:styleId="RodapChar" w:customStyle="1">
    <w:name w:val="Rodapé Char"/>
    <w:link w:val="Rodap"/>
    <w:uiPriority w:val="99"/>
    <w:qFormat/>
    <w:rsid w:val="003e62b7"/>
    <w:rPr/>
  </w:style>
  <w:style w:type="character" w:styleId="CorpodetextoChar" w:customStyle="1">
    <w:name w:val="Corpo de texto Char"/>
    <w:basedOn w:val="DefaultParagraphFont"/>
    <w:link w:val="Corpodetexto"/>
    <w:uiPriority w:val="1"/>
    <w:qFormat/>
    <w:rsid w:val="003e62b7"/>
    <w:rPr>
      <w:rFonts w:ascii="Arial" w:hAnsi="Arial" w:eastAsia="Arial" w:cs="Arial"/>
      <w:lang w:val="pt-PT" w:eastAsia="pt-PT" w:bidi="pt-PT"/>
    </w:rPr>
  </w:style>
  <w:style w:type="character" w:styleId="LinkdaInternet">
    <w:name w:val="Link da Internet"/>
    <w:basedOn w:val="DefaultParagraphFont"/>
    <w:uiPriority w:val="99"/>
    <w:unhideWhenUsed/>
    <w:rsid w:val="00f41348"/>
    <w:rPr>
      <w:color w:val="0563C1" w:themeColor="hyperlink"/>
      <w:u w:val="single"/>
    </w:rPr>
  </w:style>
  <w:style w:type="character" w:styleId="CorpodetextoChar1" w:customStyle="1">
    <w:name w:val="Corpo de texto Char1"/>
    <w:basedOn w:val="DefaultParagraphFont"/>
    <w:uiPriority w:val="99"/>
    <w:semiHidden/>
    <w:qFormat/>
    <w:rsid w:val="003e62b7"/>
    <w:rPr>
      <w:rFonts w:ascii="Calibri" w:hAnsi="Calibri" w:eastAsia="Calibri" w:cs="Times New Roman"/>
    </w:rPr>
  </w:style>
  <w:style w:type="character" w:styleId="RodapChar1" w:customStyle="1">
    <w:name w:val="Rodapé Char1"/>
    <w:basedOn w:val="DefaultParagraphFont"/>
    <w:uiPriority w:val="99"/>
    <w:semiHidden/>
    <w:qFormat/>
    <w:rsid w:val="003e62b7"/>
    <w:rPr>
      <w:rFonts w:ascii="Calibri" w:hAnsi="Calibri" w:eastAsia="Calibri" w:cs="Times New Roman"/>
    </w:rPr>
  </w:style>
  <w:style w:type="character" w:styleId="TextodebaloChar" w:customStyle="1">
    <w:name w:val="Texto de balão Char"/>
    <w:basedOn w:val="DefaultParagraphFont"/>
    <w:link w:val="Textodebalo"/>
    <w:uiPriority w:val="99"/>
    <w:semiHidden/>
    <w:qFormat/>
    <w:rsid w:val="0004170a"/>
    <w:rPr>
      <w:rFonts w:ascii="Segoe UI" w:hAnsi="Segoe UI" w:eastAsia="Calibri" w:cs="Segoe UI"/>
      <w:sz w:val="18"/>
      <w:szCs w:val="18"/>
    </w:rPr>
  </w:style>
  <w:style w:type="character" w:styleId="Annotationreference">
    <w:name w:val="annotation reference"/>
    <w:basedOn w:val="DefaultParagraphFont"/>
    <w:uiPriority w:val="99"/>
    <w:semiHidden/>
    <w:unhideWhenUsed/>
    <w:qFormat/>
    <w:rsid w:val="00861c1a"/>
    <w:rPr>
      <w:sz w:val="16"/>
      <w:szCs w:val="16"/>
    </w:rPr>
  </w:style>
  <w:style w:type="character" w:styleId="TextodecomentrioChar" w:customStyle="1">
    <w:name w:val="Texto de comentário Char"/>
    <w:basedOn w:val="DefaultParagraphFont"/>
    <w:link w:val="Textodecomentrio"/>
    <w:uiPriority w:val="99"/>
    <w:semiHidden/>
    <w:qFormat/>
    <w:rsid w:val="00861c1a"/>
    <w:rPr>
      <w:rFonts w:ascii="Calibri" w:hAnsi="Calibri" w:eastAsia="Calibri" w:cs="Times New Roman"/>
      <w:sz w:val="20"/>
      <w:szCs w:val="20"/>
    </w:rPr>
  </w:style>
  <w:style w:type="character" w:styleId="AssuntodocomentrioChar" w:customStyle="1">
    <w:name w:val="Assunto do comentário Char"/>
    <w:basedOn w:val="TextodecomentrioChar"/>
    <w:link w:val="Assuntodocomentrio"/>
    <w:uiPriority w:val="99"/>
    <w:semiHidden/>
    <w:qFormat/>
    <w:rsid w:val="00861c1a"/>
    <w:rPr>
      <w:rFonts w:ascii="Calibri" w:hAnsi="Calibri" w:eastAsia="Calibri" w:cs="Times New Roman"/>
      <w:b/>
      <w:bCs/>
      <w:sz w:val="20"/>
      <w:szCs w:val="20"/>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3e62b7"/>
    <w:pPr>
      <w:widowControl w:val="false"/>
      <w:spacing w:lineRule="auto" w:line="240" w:before="0" w:after="0"/>
    </w:pPr>
    <w:rPr>
      <w:rFonts w:ascii="Arial" w:hAnsi="Arial" w:eastAsia="Arial" w:cs="Arial"/>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3e62b7"/>
    <w:pPr>
      <w:spacing w:before="0" w:after="160"/>
      <w:ind w:left="720" w:hanging="0"/>
      <w:contextualSpacing/>
    </w:pPr>
    <w:rPr/>
  </w:style>
  <w:style w:type="paragraph" w:styleId="CabealhoeRodap">
    <w:name w:val="Cabeçalho e Rodapé"/>
    <w:basedOn w:val="Normal"/>
    <w:qFormat/>
    <w:pPr/>
    <w:rPr/>
  </w:style>
  <w:style w:type="paragraph" w:styleId="Rodap">
    <w:name w:val="Footer"/>
    <w:basedOn w:val="Normal"/>
    <w:link w:val="RodapChar"/>
    <w:uiPriority w:val="99"/>
    <w:unhideWhenUsed/>
    <w:rsid w:val="003e62b7"/>
    <w:pPr>
      <w:tabs>
        <w:tab w:val="clear" w:pos="708"/>
        <w:tab w:val="center" w:pos="4252" w:leader="none"/>
        <w:tab w:val="right" w:pos="8504" w:leader="none"/>
      </w:tabs>
    </w:pPr>
    <w:rPr>
      <w:rFonts w:ascii="Calibri" w:hAnsi="Calibri" w:eastAsia="Calibri" w:cs="" w:asciiTheme="minorHAnsi" w:cstheme="minorBidi" w:eastAsiaTheme="minorHAnsi" w:hAnsiTheme="minorHAnsi"/>
    </w:rPr>
  </w:style>
  <w:style w:type="paragraph" w:styleId="NoSpacing">
    <w:name w:val="No Spacing"/>
    <w:uiPriority w:val="1"/>
    <w:qFormat/>
    <w:rsid w:val="003e62b7"/>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BalloonText">
    <w:name w:val="Balloon Text"/>
    <w:basedOn w:val="Normal"/>
    <w:link w:val="TextodebaloChar"/>
    <w:uiPriority w:val="99"/>
    <w:semiHidden/>
    <w:unhideWhenUsed/>
    <w:qFormat/>
    <w:rsid w:val="0004170a"/>
    <w:pPr>
      <w:spacing w:lineRule="auto" w:line="240" w:before="0" w:after="0"/>
    </w:pPr>
    <w:rPr>
      <w:rFonts w:ascii="Segoe UI" w:hAnsi="Segoe UI" w:cs="Segoe UI"/>
      <w:sz w:val="18"/>
      <w:szCs w:val="18"/>
    </w:rPr>
  </w:style>
  <w:style w:type="paragraph" w:styleId="Annotationtext">
    <w:name w:val="annotation text"/>
    <w:basedOn w:val="Normal"/>
    <w:link w:val="TextodecomentrioChar"/>
    <w:uiPriority w:val="99"/>
    <w:semiHidden/>
    <w:unhideWhenUsed/>
    <w:qFormat/>
    <w:rsid w:val="00861c1a"/>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861c1a"/>
    <w:pPr/>
    <w:rPr>
      <w:b/>
      <w:bCs/>
    </w:rPr>
  </w:style>
  <w:style w:type="paragraph" w:styleId="Cabealho">
    <w:name w:val="Header"/>
    <w:basedOn w:val="CabealhoeRodap"/>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3e62b7"/>
    <w:pPr>
      <w:spacing w:after="0" w:line="240" w:lineRule="auto"/>
    </w:pPr>
    <w:rPr>
      <w:lang w:eastAsia="pt-B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mailto:seletivos2021@ma.def.b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LibreOffice/7.1.0.3$Windows_X86_64 LibreOffice_project/f6099ecf3d29644b5008cc8f48f42f4a40986e4c</Application>
  <AppVersion>15.0000</AppVersion>
  <Pages>21</Pages>
  <Words>5168</Words>
  <Characters>30754</Characters>
  <CharactersWithSpaces>35554</CharactersWithSpaces>
  <Paragraphs>359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2021-05-04T12:45:00Z</dcterms:created>
  <dc:creator>Cristiane Marques Mendes</dc:creator>
  <dc:description/>
  <dc:language>pt-BR</dc:language>
  <cp:lastModifiedBy>Cristiane Marques Mendes</cp:lastModifiedBy>
  <cp:lastPrinted>2021-05-03T17:55:00Z</cp:lastPrinted>
  <dcterms:modified xsi:type="dcterms:W3CDTF">2021-05-04T18:07:00Z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