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val="pt-BR"/>
        </w:rPr>
        <w:t>Art. 1º- IN</w:t>
      </w:r>
      <w:r>
        <w:rPr>
          <w:rFonts w:ascii="Times New Roman" w:hAnsi="Times New Roman"/>
          <w:sz w:val="24"/>
          <w:szCs w:val="24"/>
        </w:rPr>
        <w:t xml:space="preserve">FORMAR 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que as notas da </w:t>
      </w:r>
      <w:r>
        <w:rPr>
          <w:rFonts w:ascii="Times New Roman" w:hAnsi="Times New Roman"/>
          <w:sz w:val="24"/>
          <w:szCs w:val="24"/>
        </w:rPr>
        <w:t xml:space="preserve">PROVA DISSERTATIVA </w:t>
      </w:r>
      <w:r>
        <w:rPr>
          <w:rFonts w:ascii="Times New Roman" w:hAnsi="Times New Roman"/>
          <w:b w:val="false"/>
          <w:bCs/>
          <w:sz w:val="24"/>
          <w:szCs w:val="24"/>
        </w:rPr>
        <w:t>serão publicadas dia 23/06/2021</w:t>
      </w:r>
      <w:r>
        <w:rPr>
          <w:rFonts w:ascii="Times New Roman" w:hAnsi="Times New Roman"/>
          <w:b w:val="false"/>
          <w:bCs/>
          <w:sz w:val="24"/>
          <w:szCs w:val="24"/>
          <w:lang w:eastAsia="pt-BR"/>
        </w:rPr>
        <w:t>;</w:t>
      </w:r>
      <w:bookmarkStart w:id="1" w:name="_Hlk47904931"/>
      <w:bookmarkEnd w:id="1"/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21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140</Words>
  <Characters>747</Characters>
  <CharactersWithSpaces>886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2021-06-21T16:34:00Z</dcterms:created>
  <dc:creator>Lorena Fernandes</dc:creator>
  <dc:description/>
  <dc:language>pt-BR</dc:language>
  <cp:lastModifiedBy>Conta da Microsoft</cp:lastModifiedBy>
  <cp:lastPrinted>2021-06-21T16:34:00Z</cp:lastPrinted>
  <dcterms:modified xsi:type="dcterms:W3CDTF">2021-06-21T16:34:00Z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