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EDITAL 008</w:t>
      </w:r>
      <w:bookmarkStart w:id="0" w:name="_GoBack"/>
      <w:bookmarkEnd w:id="0"/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 xml:space="preserve">III PROCESSO SELETIVO PARA PROFISSIONAIS </w:t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spacing w:lineRule="auto" w:line="240" w:before="0" w:after="0"/>
        <w:ind w:left="567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PROJETO FORTALECIMENTO DA ASSISTÊNCIA JURÍDICA E IMPLANTAÇÃO DA VISITA VIRTUAL PARA PESSOAS PRIVADAS DE LIBERDADE DO ESTADO DO MARANHÃO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DEFENSOR PÚBLICO-GERAL DO ESTADO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III PROCESSO SELETIVO PARA PROFISSIONAIS DO PROJETO FORTALECIMENTO DA ASSISTÊNCIA JURÍDICA E IMPLANTAÇÃO DA VISITA VIRTUAL PARA PESSOAS PRIVADAS DE LIBERDADE DO ESTADO DO MARANHÃO,</w:t>
      </w:r>
      <w:r>
        <w:rPr>
          <w:rFonts w:eastAsia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ab/>
        <w:t xml:space="preserve">Art. 1º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TORNAR PÚBLICA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a convocação dos candidatos classificados na área especificada, conforme </w:t>
      </w:r>
      <w:r>
        <w:rPr>
          <w:rFonts w:eastAsia="Times New Roman" w:ascii="Times New Roman" w:hAnsi="Times New Roman"/>
          <w:b/>
          <w:bCs/>
          <w:sz w:val="24"/>
          <w:szCs w:val="24"/>
          <w:lang w:eastAsia="zh-CN"/>
        </w:rPr>
        <w:t>ANEXO ÚNICO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, para encaminhar os seguintes documentos (originais) digitalizados para o e-mail convenios@ma.def.br, até dia 30 de agosto: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bCs/>
          <w:sz w:val="24"/>
          <w:szCs w:val="24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240"/>
        <w:ind w:left="709" w:firstLine="54"/>
        <w:jc w:val="both"/>
        <w:rPr>
          <w:rFonts w:ascii="Times New Roman" w:hAnsi="Times New Roman" w:eastAsia="Times New Roman"/>
          <w:bCs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Os seguintes documentos pessoais: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a) Carteira de Identidade e CPF; </w:t>
      </w:r>
    </w:p>
    <w:p>
      <w:pPr>
        <w:pStyle w:val="Normal"/>
        <w:widowControl w:val="false"/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b) Comprovante de residência;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c) Número de Conta Corrente;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d) Número do PIS/PASEP;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f) Curriculum vitae;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g) Registro no conselho de classe (OAB/CRESS);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240"/>
        <w:ind w:left="993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h)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709" w:hanging="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Art. 2º. O presente Edital será </w:t>
      </w:r>
      <w:r>
        <w:rPr>
          <w:rFonts w:eastAsia="SimSun" w:ascii="Times New Roman" w:hAnsi="Times New Roman"/>
          <w:b/>
          <w:bCs/>
          <w:kern w:val="2"/>
          <w:sz w:val="24"/>
          <w:szCs w:val="24"/>
          <w:lang w:eastAsia="zh-CN" w:bidi="hi-IN"/>
        </w:rPr>
        <w:t xml:space="preserve">PUBLICADO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no site da DPE/MA e no DOE.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jc w:val="both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 xml:space="preserve">São Luís, 25 de agosto de 2021. </w:t>
      </w:r>
    </w:p>
    <w:p>
      <w:pPr>
        <w:pStyle w:val="Normal"/>
        <w:widowControl w:val="false"/>
        <w:tabs>
          <w:tab w:val="clear" w:pos="708"/>
          <w:tab w:val="center" w:pos="4612" w:leader="none"/>
        </w:tabs>
        <w:spacing w:lineRule="auto" w:line="240" w:before="0" w:after="120"/>
        <w:ind w:left="993" w:hanging="0"/>
        <w:jc w:val="right"/>
        <w:rPr>
          <w:rFonts w:ascii="Times New Roman" w:hAnsi="Times New Roman" w:eastAsia="SimSun"/>
          <w:kern w:val="2"/>
          <w:sz w:val="24"/>
          <w:szCs w:val="24"/>
          <w:lang w:eastAsia="zh-CN" w:bidi="hi-IN"/>
        </w:rPr>
      </w:pP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sz w:val="24"/>
          <w:szCs w:val="24"/>
        </w:rPr>
      </w:pPr>
      <w:r>
        <w:rPr>
          <w:rFonts w:eastAsia="Batang"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 w:eastAsia="Batang"/>
          <w:sz w:val="24"/>
          <w:szCs w:val="24"/>
        </w:rPr>
      </w:pPr>
      <w:r>
        <w:rPr>
          <w:rFonts w:eastAsia="Batang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eastAsia="Batang" w:ascii="Times New Roman" w:hAnsi="Times New Roman"/>
          <w:b/>
          <w:bCs/>
        </w:rPr>
        <w:t>ANEXO ÚNICO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360" w:type="dxa"/>
        <w:jc w:val="left"/>
        <w:tblInd w:w="-1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4"/>
        <w:gridCol w:w="2611"/>
        <w:gridCol w:w="4305"/>
      </w:tblGrid>
      <w:tr>
        <w:trPr/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>
        <w:trPr/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3º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Pedro Henrique Holanda da Silva Fonseca </w:t>
            </w:r>
          </w:p>
        </w:tc>
      </w:tr>
      <w:tr>
        <w:trPr/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2º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Assistente Social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Jousy Marla Cunha Rabelo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0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spacing w:lineRule="auto" w:line="240" w:before="0" w:after="0"/>
      <w:jc w:val="center"/>
      <w:rPr>
        <w:iCs/>
        <w:color w:val="auto"/>
        <w:sz w:val="20"/>
      </w:rPr>
    </w:pPr>
    <w:r>
      <w:rPr>
        <w:iCs/>
        <w:color w:val="auto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6DC8D89F">
              <wp:simplePos x="0" y="0"/>
              <wp:positionH relativeFrom="column">
                <wp:posOffset>509270</wp:posOffset>
              </wp:positionH>
              <wp:positionV relativeFrom="paragraph">
                <wp:posOffset>-24765</wp:posOffset>
              </wp:positionV>
              <wp:extent cx="4573270" cy="190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72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95pt" to="400.1pt,-1.95pt" ID="Conector reto 2" stroked="t" style="position:absolute" wp14:anchorId="6DC8D89F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</w:p>
  <w:p>
    <w:pPr>
      <w:pStyle w:val="Ttulo5"/>
      <w:numPr>
        <w:ilvl w:val="4"/>
        <w:numId w:val="2"/>
      </w:numPr>
      <w:spacing w:lineRule="auto" w:line="240" w:before="0" w:after="0"/>
      <w:jc w:val="center"/>
      <w:rPr/>
    </w:pPr>
    <w:r>
      <w:rPr>
        <w:iCs/>
        <w:color w:val="auto"/>
        <w:sz w:val="20"/>
      </w:rPr>
      <w:t>Rua da Estrela, 421, Reviver – São Luís/MA – CEP 65010-200</w:t>
    </w:r>
  </w:p>
  <w:p>
    <w:pPr>
      <w:pStyle w:val="Normal"/>
      <w:spacing w:lineRule="auto" w:line="240"/>
      <w:jc w:val="center"/>
      <w:rPr/>
    </w:pPr>
    <w:r>
      <w:rPr>
        <w:rFonts w:ascii="Times New Roman" w:hAnsi="Times New Roman"/>
        <w:i/>
        <w:iCs/>
        <w:sz w:val="20"/>
        <w:szCs w:val="20"/>
      </w:rPr>
      <w:t>Telefone: (98) 3221-1343 – (98) 3221-6110</w:t>
    </w:r>
  </w:p>
  <w:p>
    <w:pPr>
      <w:pStyle w:val="Normal"/>
      <w:spacing w:lineRule="auto" w:line="240"/>
      <w:jc w:val="center"/>
      <w:rPr/>
    </w:pPr>
    <w:r>
      <w:rPr>
        <w:rFonts w:ascii="Times New Roman" w:hAnsi="Times New Roman"/>
        <w:i/>
        <w:iCs/>
        <w:sz w:val="20"/>
        <w:szCs w:val="20"/>
      </w:rPr>
      <w:t>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d260f3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LibreOffice/7.1.4.2$Windows_X86_64 LibreOffice_project/a529a4fab45b75fefc5b6226684193eb000654f6</Application>
  <AppVersion>15.0000</AppVersion>
  <Pages>2</Pages>
  <Words>239</Words>
  <Characters>1398</Characters>
  <CharactersWithSpaces>1620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2021-03-01T18:48:00Z</dcterms:created>
  <dc:creator>Lorena Fernandes</dc:creator>
  <dc:description/>
  <dc:language>pt-BR</dc:language>
  <cp:lastModifiedBy/>
  <cp:lastPrinted>2018-08-06T19:19:00Z</cp:lastPrinted>
  <dcterms:modified xsi:type="dcterms:W3CDTF">2021-08-25T09:57:26Z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