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center"/>
        <w:rPr/>
      </w:pPr>
      <w:r>
        <w:rPr>
          <w:rFonts w:cs="Arial" w:ascii="Arial" w:hAnsi="Arial"/>
          <w:b/>
          <w:sz w:val="24"/>
          <w:szCs w:val="24"/>
          <w:u w:val="single"/>
        </w:rPr>
        <w:t xml:space="preserve">EDITAL Nº 001/2021 – NÚCLEO REGIONAL DE </w:t>
      </w:r>
      <w:r>
        <w:rPr>
          <w:rFonts w:eastAsia="Calibri" w:cs="Arial" w:ascii="Arial" w:hAnsi="Arial"/>
          <w:b/>
          <w:color w:val="00000A"/>
          <w:kern w:val="0"/>
          <w:sz w:val="24"/>
          <w:szCs w:val="24"/>
          <w:u w:val="single"/>
          <w:lang w:val="pt-BR" w:eastAsia="en-US" w:bidi="ar-SA"/>
        </w:rPr>
        <w:t>BACABAL</w:t>
      </w:r>
    </w:p>
    <w:p>
      <w:pPr>
        <w:pStyle w:val="Normal"/>
        <w:spacing w:lineRule="auto" w:line="360" w:before="0" w:after="0"/>
        <w:jc w:val="center"/>
        <w:rPr/>
      </w:pPr>
      <w:r>
        <w:rPr>
          <w:rFonts w:cs="Arial" w:ascii="Arial" w:hAnsi="Arial"/>
          <w:b/>
          <w:sz w:val="24"/>
          <w:szCs w:val="24"/>
          <w:u w:val="single"/>
        </w:rPr>
        <w:t xml:space="preserve">I PROCESSO SELETIVO PARA ESTÁGIO FORENSE DE </w:t>
      </w:r>
    </w:p>
    <w:p>
      <w:pPr>
        <w:pStyle w:val="Normal"/>
        <w:spacing w:lineRule="auto" w:line="360" w:before="0" w:after="0"/>
        <w:jc w:val="center"/>
        <w:rPr/>
      </w:pPr>
      <w:r>
        <w:rPr>
          <w:rFonts w:cs="Arial" w:ascii="Arial" w:hAnsi="Arial"/>
          <w:b/>
          <w:sz w:val="24"/>
          <w:szCs w:val="24"/>
          <w:u w:val="single"/>
        </w:rPr>
        <w:t>PÓS-GRADUAÇÃO EM DIREITO PARA ATUAÇÃO NA ÁREA CRIMINAL</w:t>
      </w:r>
    </w:p>
    <w:p>
      <w:pPr>
        <w:pStyle w:val="Normal"/>
        <w:spacing w:lineRule="auto" w:line="360" w:before="0" w:after="0"/>
        <w:jc w:val="center"/>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pPr>
      <w:r>
        <w:rPr>
          <w:rFonts w:cs="Arial" w:ascii="Arial" w:hAnsi="Arial"/>
          <w:b/>
          <w:sz w:val="24"/>
          <w:szCs w:val="24"/>
        </w:rPr>
        <w:t xml:space="preserve">O PRESIDENTE DO PROCESSO SELETIVO, </w:t>
      </w:r>
      <w:r>
        <w:rPr>
          <w:rFonts w:cs="Arial" w:ascii="Arial" w:hAnsi="Arial"/>
          <w:sz w:val="24"/>
          <w:szCs w:val="24"/>
        </w:rPr>
        <w:t xml:space="preserve">no uso de suas atribuições legais e tendo em vista o disposto no artigo 37 da Constituição Federal, na Lei Federal nº 11.788, de 25 de Setembro de 2008, bem como na </w:t>
      </w:r>
      <w:r>
        <w:rPr>
          <w:rFonts w:cs="Arial" w:ascii="Arial" w:hAnsi="Arial"/>
          <w:b/>
          <w:sz w:val="24"/>
          <w:szCs w:val="24"/>
        </w:rPr>
        <w:t>Resolução nº 008 – CSDPEMA, de 31 de maio de 2019</w:t>
      </w:r>
      <w:r>
        <w:rPr>
          <w:rFonts w:cs="Arial" w:ascii="Arial" w:hAnsi="Arial"/>
          <w:sz w:val="24"/>
          <w:szCs w:val="24"/>
        </w:rPr>
        <w:t xml:space="preserve">, resolve tornar pública a abertura do I Processo Seletivo para admissão e formação de cadastro de reserva de estudantes em estágio não-obrigatório de Pós-Graduação em Direito com atuação na área criminal – Núcleo Regional de </w:t>
      </w:r>
      <w:r>
        <w:rPr>
          <w:rFonts w:eastAsia="Calibri" w:cs="Arial" w:ascii="Arial" w:hAnsi="Arial"/>
          <w:color w:val="00000A"/>
          <w:kern w:val="0"/>
          <w:sz w:val="24"/>
          <w:szCs w:val="24"/>
          <w:lang w:val="pt-BR" w:eastAsia="en-US" w:bidi="ar-SA"/>
        </w:rPr>
        <w:t>Bacabal</w:t>
      </w:r>
      <w:r>
        <w:rPr>
          <w:rFonts w:cs="Arial" w:ascii="Arial" w:hAnsi="Arial"/>
          <w:sz w:val="24"/>
          <w:szCs w:val="24"/>
        </w:rPr>
        <w:t>, de acordo com a legislação vigente e as normas dispostas neste Edital e seus anexos.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DAS DISPOSIÇÕES PRELIMINARES</w:t>
      </w:r>
    </w:p>
    <w:p>
      <w:pPr>
        <w:pStyle w:val="Normal"/>
        <w:spacing w:lineRule="auto" w:line="360" w:before="0" w:after="0"/>
        <w:jc w:val="both"/>
        <w:rPr/>
      </w:pPr>
      <w:r>
        <w:rPr>
          <w:rFonts w:cs="Arial" w:ascii="Arial" w:hAnsi="Arial"/>
          <w:color w:val="000000"/>
          <w:sz w:val="24"/>
          <w:szCs w:val="24"/>
        </w:rPr>
        <w:t xml:space="preserve">A coordenação, organização e aplicação deste processo seletivo ficará sob a responsabilidade da comissão designada na </w:t>
      </w:r>
      <w:r>
        <w:rPr>
          <w:rFonts w:cs="Arial" w:ascii="Arial" w:hAnsi="Arial"/>
          <w:b/>
          <w:bCs/>
          <w:color w:val="000000"/>
          <w:sz w:val="24"/>
          <w:szCs w:val="24"/>
        </w:rPr>
        <w:t>Portaria nº 332-DPGE</w:t>
      </w:r>
      <w:r>
        <w:rPr>
          <w:rFonts w:cs="Arial" w:ascii="Arial" w:hAnsi="Arial"/>
          <w:b/>
          <w:color w:val="000000"/>
          <w:sz w:val="24"/>
          <w:szCs w:val="24"/>
        </w:rPr>
        <w:t xml:space="preserve">, de 15 de </w:t>
      </w:r>
      <w:r>
        <w:rPr>
          <w:rFonts w:eastAsia="Calibri" w:cs="Arial" w:ascii="Arial" w:hAnsi="Arial"/>
          <w:b/>
          <w:color w:val="000000"/>
          <w:kern w:val="0"/>
          <w:sz w:val="24"/>
          <w:szCs w:val="24"/>
          <w:lang w:val="pt-BR" w:eastAsia="en-US" w:bidi="ar-SA"/>
        </w:rPr>
        <w:t>abril</w:t>
      </w:r>
      <w:r>
        <w:rPr>
          <w:rFonts w:cs="Arial" w:ascii="Arial" w:hAnsi="Arial"/>
          <w:b/>
          <w:color w:val="000000"/>
          <w:sz w:val="24"/>
          <w:szCs w:val="24"/>
        </w:rPr>
        <w:t xml:space="preserve"> de 2021</w:t>
      </w:r>
      <w:r>
        <w:rPr>
          <w:rFonts w:cs="Arial" w:ascii="Arial" w:hAnsi="Arial"/>
          <w:color w:val="000000"/>
          <w:sz w:val="24"/>
          <w:szCs w:val="24"/>
        </w:rPr>
        <w:t xml:space="preserve"> sob a presidência do defensor Marcelo Jorge Martins.</w:t>
      </w:r>
    </w:p>
    <w:p>
      <w:pPr>
        <w:pStyle w:val="Normal"/>
        <w:spacing w:lineRule="auto" w:line="360" w:before="0" w:after="0"/>
        <w:jc w:val="both"/>
        <w:rPr>
          <w:rFonts w:ascii="Arial" w:hAnsi="Arial" w:cs="Arial"/>
          <w:sz w:val="24"/>
          <w:szCs w:val="24"/>
        </w:rPr>
      </w:pPr>
      <w:r>
        <w:rPr>
          <w:rFonts w:cs="Arial" w:ascii="Arial" w:hAnsi="Arial"/>
          <w:sz w:val="24"/>
          <w:szCs w:val="24"/>
        </w:rPr>
        <w:t>É de responsabilidade exclusiva do candidato acompanhar todas as publicações referentes a este processo seletivo.</w:t>
      </w:r>
    </w:p>
    <w:p>
      <w:pPr>
        <w:pStyle w:val="Normal"/>
        <w:spacing w:lineRule="auto" w:line="360" w:before="0" w:after="0"/>
        <w:jc w:val="both"/>
        <w:rPr>
          <w:rFonts w:ascii="Arial" w:hAnsi="Arial" w:cs="Arial"/>
          <w:sz w:val="24"/>
          <w:szCs w:val="24"/>
        </w:rPr>
      </w:pPr>
      <w:r>
        <w:rPr>
          <w:rFonts w:cs="Arial" w:ascii="Arial" w:hAnsi="Arial"/>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w:t>
      </w:r>
      <w:r>
        <w:rPr>
          <w:rFonts w:cs="Arial" w:ascii="Arial" w:hAnsi="Arial"/>
          <w:b/>
          <w:sz w:val="24"/>
          <w:szCs w:val="24"/>
        </w:rPr>
        <w:t>Resolução nº 008 – CSDPEMA, de 31 de maio de 2019</w:t>
      </w:r>
      <w:r>
        <w:rPr>
          <w:rFonts w:cs="Arial" w:ascii="Arial" w:hAnsi="Arial"/>
          <w:sz w:val="24"/>
          <w:szCs w:val="24"/>
        </w:rPr>
        <w:t>, não havendo vínculo empregatício entre os mesmos.</w:t>
      </w:r>
    </w:p>
    <w:p>
      <w:pPr>
        <w:pStyle w:val="Normal"/>
        <w:spacing w:lineRule="auto" w:line="360" w:before="0" w:after="0"/>
        <w:jc w:val="both"/>
        <w:rPr/>
      </w:pPr>
      <w:r>
        <w:rPr>
          <w:rFonts w:cs="Arial" w:ascii="Arial" w:hAnsi="Arial"/>
          <w:sz w:val="24"/>
          <w:szCs w:val="24"/>
        </w:rPr>
        <w:t xml:space="preserve">Os estagiários receberão Bolsa Auxílio no valor de R$ 1.420,00 (mil e quatrocentos e vinte reais) e Auxílio-transporte no valor de R$ 52,00 (cinquenta e dois reais) </w:t>
      </w:r>
      <w:r>
        <w:rPr>
          <w:rFonts w:cs="Arial" w:ascii="Arial" w:hAnsi="Arial"/>
          <w:b/>
          <w:sz w:val="24"/>
          <w:szCs w:val="24"/>
        </w:rPr>
        <w:t>totalizando R$ 1.472,00 (mil e quatrocentos e setenta e dois reais)</w:t>
      </w:r>
      <w:r>
        <w:rPr>
          <w:rFonts w:cs="Arial" w:ascii="Arial" w:hAnsi="Arial"/>
          <w:sz w:val="24"/>
          <w:szCs w:val="24"/>
        </w:rPr>
        <w:t xml:space="preserve">, conforme disposto no art. 1º da Resolução nº 003/2020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 </w:t>
      </w:r>
      <w:r>
        <w:rPr>
          <w:rFonts w:cs="Arial" w:ascii="Arial" w:hAnsi="Arial"/>
          <w:sz w:val="24"/>
          <w:szCs w:val="24"/>
        </w:rPr>
        <w:t xml:space="preserve">DPGE, na forma do art. 6ª, § 1º da </w:t>
      </w:r>
      <w:r>
        <w:rPr>
          <w:rFonts w:cs="Arial" w:ascii="Arial" w:hAnsi="Arial"/>
          <w:b/>
          <w:sz w:val="24"/>
          <w:szCs w:val="24"/>
        </w:rPr>
        <w:t>Resolução nº 008/2019 – CSDPEMA</w:t>
      </w:r>
      <w:r>
        <w:rPr>
          <w:rFonts w:cs="Arial" w:ascii="Arial" w:hAnsi="Arial"/>
          <w:sz w:val="24"/>
          <w:szCs w:val="24"/>
        </w:rPr>
        <w:t>, com carga horária diária de 04 (quatro) horas e 20 (vinte) horas semanais, de segunda a sexta-feira.</w:t>
      </w:r>
    </w:p>
    <w:p>
      <w:pPr>
        <w:pStyle w:val="Normal"/>
        <w:spacing w:lineRule="auto" w:line="360" w:before="0" w:after="0"/>
        <w:jc w:val="both"/>
        <w:rPr/>
      </w:pPr>
      <w:r>
        <w:rPr>
          <w:rFonts w:cs="Arial" w:ascii="Arial" w:hAnsi="Arial"/>
          <w:sz w:val="24"/>
          <w:szCs w:val="24"/>
        </w:rPr>
        <w:t>O estágio terá duração de até 01 (um) ano, podendo ser prorrogado por igual período.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 VAGA E LOTAÇÃO</w:t>
      </w:r>
    </w:p>
    <w:p>
      <w:pPr>
        <w:pStyle w:val="Normal"/>
        <w:spacing w:lineRule="auto" w:line="360" w:before="0" w:after="0"/>
        <w:jc w:val="both"/>
        <w:rPr/>
      </w:pPr>
      <w:r>
        <w:rPr>
          <w:rFonts w:cs="Arial" w:ascii="Arial" w:hAnsi="Arial"/>
          <w:sz w:val="24"/>
          <w:szCs w:val="24"/>
        </w:rPr>
        <w:t xml:space="preserve">Será disponibilizada </w:t>
      </w:r>
      <w:r>
        <w:rPr>
          <w:rFonts w:cs="Arial" w:ascii="Arial" w:hAnsi="Arial"/>
          <w:b/>
          <w:sz w:val="24"/>
          <w:szCs w:val="24"/>
          <w:u w:val="single"/>
        </w:rPr>
        <w:t>01 (uma) vaga</w:t>
      </w:r>
      <w:r>
        <w:rPr>
          <w:rFonts w:cs="Arial" w:ascii="Arial" w:hAnsi="Arial"/>
          <w:sz w:val="24"/>
          <w:szCs w:val="24"/>
        </w:rPr>
        <w:t xml:space="preserve"> para bacharéis em Direito que estejam cursando Pós-Graduação em Direito na data da admissão, para lotação no Núcleo Regional de </w:t>
      </w:r>
      <w:r>
        <w:rPr>
          <w:rFonts w:eastAsia="Calibri" w:cs="Arial" w:ascii="Arial" w:hAnsi="Arial"/>
          <w:color w:val="00000A"/>
          <w:kern w:val="0"/>
          <w:sz w:val="24"/>
          <w:szCs w:val="24"/>
          <w:lang w:val="pt-BR" w:eastAsia="en-US" w:bidi="ar-SA"/>
        </w:rPr>
        <w:t>Bacabal atuação Criminal</w:t>
      </w:r>
      <w:r>
        <w:rPr>
          <w:rFonts w:cs="Arial" w:ascii="Arial" w:hAnsi="Arial"/>
          <w:sz w:val="24"/>
          <w:szCs w:val="24"/>
        </w:rPr>
        <w:t>, da Defensoria Pública do Estado do Maranhão.</w:t>
      </w:r>
    </w:p>
    <w:p>
      <w:pPr>
        <w:pStyle w:val="Normal"/>
        <w:spacing w:lineRule="auto" w:line="360" w:before="0" w:after="0"/>
        <w:jc w:val="both"/>
        <w:rPr/>
      </w:pPr>
      <w:r>
        <w:rPr>
          <w:rFonts w:cs="Arial" w:ascii="Arial" w:hAnsi="Arial"/>
          <w:sz w:val="24"/>
          <w:szCs w:val="24"/>
        </w:rPr>
        <w:t>A aprovação no processo seletivo não gera direito subjetivo à convocação, que será preenchida de acordo com a discricionariedade da Administração Superior da DPE-MA.</w:t>
      </w:r>
    </w:p>
    <w:p>
      <w:pPr>
        <w:pStyle w:val="Normal"/>
        <w:spacing w:lineRule="auto" w:line="360" w:before="0" w:after="0"/>
        <w:jc w:val="both"/>
        <w:rPr>
          <w:rFonts w:ascii="Arial" w:hAnsi="Arial" w:cs="Arial"/>
          <w:sz w:val="24"/>
          <w:szCs w:val="24"/>
        </w:rPr>
      </w:pPr>
      <w:r>
        <w:rPr>
          <w:rFonts w:cs="Arial" w:ascii="Arial" w:hAnsi="Arial"/>
          <w:sz w:val="24"/>
          <w:szCs w:val="24"/>
        </w:rPr>
        <w:t>Será formado cadastro de reserva com os demais selecionados, cuja validade é de 1 ano.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DAS INSCRIÇÕES</w:t>
      </w:r>
    </w:p>
    <w:p>
      <w:pPr>
        <w:pStyle w:val="Normal"/>
        <w:spacing w:lineRule="auto" w:line="360" w:before="0" w:after="0"/>
        <w:jc w:val="both"/>
        <w:rPr/>
      </w:pPr>
      <w:r>
        <w:rPr>
          <w:rFonts w:cs="Arial" w:ascii="Arial" w:hAnsi="Arial"/>
          <w:sz w:val="24"/>
          <w:szCs w:val="24"/>
        </w:rPr>
        <w:t xml:space="preserve">As inscrições deverão ser efetuadas </w:t>
      </w:r>
      <w:r>
        <w:rPr>
          <w:rFonts w:cs="Arial" w:ascii="Arial" w:hAnsi="Arial"/>
          <w:b/>
          <w:sz w:val="24"/>
          <w:szCs w:val="24"/>
          <w:u w:val="single"/>
        </w:rPr>
        <w:t>exclusivamente</w:t>
      </w:r>
      <w:r>
        <w:rPr>
          <w:rFonts w:cs="Arial" w:ascii="Arial" w:hAnsi="Arial"/>
          <w:sz w:val="24"/>
          <w:szCs w:val="24"/>
        </w:rPr>
        <w:t xml:space="preserve"> pelo e-mail: </w:t>
      </w:r>
      <w:r>
        <w:rPr>
          <w:rFonts w:cs="Arial" w:ascii="Arial" w:hAnsi="Arial"/>
          <w:b/>
          <w:sz w:val="24"/>
          <w:szCs w:val="24"/>
          <w:u w:val="single"/>
        </w:rPr>
        <w:t>nucleo</w:t>
      </w:r>
      <w:r>
        <w:rPr>
          <w:rFonts w:eastAsia="Calibri" w:cs="Arial" w:ascii="Arial" w:hAnsi="Arial"/>
          <w:b/>
          <w:color w:val="00000A"/>
          <w:kern w:val="0"/>
          <w:sz w:val="24"/>
          <w:szCs w:val="24"/>
          <w:u w:val="single"/>
          <w:lang w:val="pt-BR" w:eastAsia="en-US" w:bidi="ar-SA"/>
        </w:rPr>
        <w:t>bacabal</w:t>
      </w:r>
      <w:r>
        <w:rPr>
          <w:rFonts w:cs="Arial" w:ascii="Arial" w:hAnsi="Arial"/>
          <w:b/>
          <w:sz w:val="24"/>
          <w:szCs w:val="24"/>
          <w:u w:val="single"/>
        </w:rPr>
        <w:t>@ma.def.br</w:t>
      </w:r>
      <w:r>
        <w:rPr>
          <w:rFonts w:cs="Arial" w:ascii="Arial" w:hAnsi="Arial"/>
          <w:sz w:val="24"/>
          <w:szCs w:val="24"/>
        </w:rPr>
        <w:t xml:space="preserve">, no período </w:t>
      </w:r>
      <w:r>
        <w:rPr>
          <w:rFonts w:cs="Arial" w:ascii="Arial" w:hAnsi="Arial"/>
          <w:b/>
          <w:sz w:val="24"/>
          <w:szCs w:val="24"/>
          <w:u w:val="single"/>
        </w:rPr>
        <w:t xml:space="preserve">de </w:t>
      </w:r>
      <w:r>
        <w:rPr>
          <w:rFonts w:eastAsia="Calibri" w:cs="Arial" w:ascii="Arial" w:hAnsi="Arial"/>
          <w:b/>
          <w:color w:val="00000A"/>
          <w:kern w:val="0"/>
          <w:sz w:val="24"/>
          <w:szCs w:val="24"/>
          <w:u w:val="single"/>
          <w:lang w:val="pt-BR" w:eastAsia="en-US" w:bidi="ar-SA"/>
        </w:rPr>
        <w:t>30</w:t>
      </w:r>
      <w:r>
        <w:rPr>
          <w:rFonts w:cs="Arial" w:ascii="Arial" w:hAnsi="Arial"/>
          <w:b/>
          <w:sz w:val="24"/>
          <w:szCs w:val="24"/>
          <w:u w:val="single"/>
        </w:rPr>
        <w:t>/04/2021 a 04/05/2021 a partir das 08:00 horas até as 17:00 horas.</w:t>
      </w:r>
    </w:p>
    <w:p>
      <w:pPr>
        <w:pStyle w:val="Normal"/>
        <w:spacing w:lineRule="auto" w:line="360" w:before="0" w:after="0"/>
        <w:jc w:val="both"/>
        <w:rPr>
          <w:rFonts w:ascii="Arial" w:hAnsi="Arial" w:cs="Arial"/>
          <w:sz w:val="24"/>
          <w:szCs w:val="24"/>
        </w:rPr>
      </w:pPr>
      <w:r>
        <w:rPr>
          <w:rFonts w:cs="Arial" w:ascii="Arial" w:hAnsi="Arial"/>
          <w:sz w:val="24"/>
          <w:szCs w:val="24"/>
        </w:rPr>
        <w:t>Não será permitida inscrição pelos correios, fac-símile, condicional ou fora do prazo estabelecido.</w:t>
      </w:r>
    </w:p>
    <w:p>
      <w:pPr>
        <w:pStyle w:val="Normal"/>
        <w:spacing w:lineRule="auto" w:line="360" w:before="0" w:after="0"/>
        <w:jc w:val="both"/>
        <w:rPr>
          <w:rFonts w:ascii="Arial" w:hAnsi="Arial" w:cs="Arial"/>
          <w:sz w:val="24"/>
          <w:szCs w:val="24"/>
        </w:rPr>
      </w:pPr>
      <w:r>
        <w:rPr>
          <w:rFonts w:cs="Arial" w:ascii="Arial" w:hAnsi="Arial"/>
          <w:sz w:val="24"/>
          <w:szCs w:val="24"/>
        </w:rPr>
        <w:t xml:space="preserve">Informações adicionais ou esclarecimentos estarão disponibilizados na página virtual da Defensoria Pública do Estado no Maranhão </w:t>
      </w:r>
      <w:r>
        <w:rPr>
          <w:rFonts w:cs="Arial" w:ascii="Arial" w:hAnsi="Arial"/>
          <w:b/>
          <w:sz w:val="24"/>
          <w:szCs w:val="24"/>
          <w:u w:val="single"/>
        </w:rPr>
        <w:t>(defensoria.ma.def.br/seletivo);</w:t>
      </w:r>
    </w:p>
    <w:p>
      <w:pPr>
        <w:pStyle w:val="Normal"/>
        <w:spacing w:lineRule="auto" w:line="360" w:before="0" w:after="0"/>
        <w:jc w:val="both"/>
        <w:rPr/>
      </w:pPr>
      <w:r>
        <w:rPr>
          <w:rFonts w:cs="Arial" w:ascii="Arial" w:hAnsi="Arial"/>
          <w:sz w:val="24"/>
          <w:szCs w:val="24"/>
        </w:rPr>
        <w:t>O pedido de inscrição implicará aceitação pelo(a) candidato(a) de todas as normas e condições do Edital.</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rPr>
        <w:t xml:space="preserve">Para inscrever-se, o candidato deverá digitalizar e enviar ao e-mail </w:t>
      </w:r>
      <w:hyperlink r:id="rId2">
        <w:r>
          <w:rPr>
            <w:rStyle w:val="LinkdaInternet"/>
            <w:rFonts w:cs="Arial" w:ascii="Arial" w:hAnsi="Arial"/>
            <w:b/>
            <w:sz w:val="24"/>
            <w:szCs w:val="24"/>
          </w:rPr>
          <w:t>nucleobacabal@ma.def.br</w:t>
        </w:r>
      </w:hyperlink>
      <w:r>
        <w:rPr>
          <w:rStyle w:val="LinkdaInternet"/>
          <w:rFonts w:cs="Arial" w:ascii="Arial" w:hAnsi="Arial"/>
          <w:b/>
          <w:sz w:val="24"/>
          <w:szCs w:val="24"/>
        </w:rPr>
        <w:t>,</w:t>
      </w:r>
      <w:r>
        <w:rPr>
          <w:rFonts w:cs="Arial" w:ascii="Arial" w:hAnsi="Arial"/>
          <w:b/>
          <w:sz w:val="24"/>
          <w:szCs w:val="24"/>
        </w:rPr>
        <w:t xml:space="preserve">  os seguintes documentos:</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Documentos originais com foto: Cédula de Identidade – RG; Carteira de órgão ou Conselho de Classe; Carteira de Trabalho e Previdência Social; Carteira Nacional de Habilitação;</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Diploma de conclusão de curso em ensino superior ou certidão de conclusão equivalente;</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Curriculum vitae acompanhado de histórico escolar de graduação e relato de experiências profissionais;</w:t>
      </w:r>
    </w:p>
    <w:p>
      <w:pPr>
        <w:pStyle w:val="ListParagraph"/>
        <w:numPr>
          <w:ilvl w:val="0"/>
          <w:numId w:val="2"/>
        </w:numPr>
        <w:spacing w:lineRule="auto" w:line="360" w:before="0" w:after="0"/>
        <w:contextualSpacing/>
        <w:jc w:val="both"/>
        <w:rPr/>
      </w:pPr>
      <w:r>
        <w:rPr>
          <w:rFonts w:cs="Arial" w:ascii="Arial" w:hAnsi="Arial"/>
          <w:b/>
          <w:sz w:val="24"/>
          <w:szCs w:val="24"/>
        </w:rPr>
        <w:t xml:space="preserve">É </w:t>
      </w:r>
      <w:r>
        <w:rPr>
          <w:rFonts w:cs="Arial" w:ascii="Arial" w:hAnsi="Arial"/>
          <w:b/>
          <w:sz w:val="24"/>
          <w:szCs w:val="24"/>
          <w:u w:val="single"/>
        </w:rPr>
        <w:t>IMPRESCINDÍVEL</w:t>
      </w:r>
      <w:r>
        <w:rPr>
          <w:rFonts w:cs="Arial" w:ascii="Arial" w:hAnsi="Arial"/>
          <w:b/>
          <w:sz w:val="24"/>
          <w:szCs w:val="24"/>
        </w:rPr>
        <w:t xml:space="preserve"> que a Faculdade de Pós-Graduação tenha convênio com a Defensoria Pública do Estado do Maranhão.</w:t>
      </w:r>
    </w:p>
    <w:p>
      <w:pPr>
        <w:pStyle w:val="Normal"/>
        <w:spacing w:lineRule="auto" w:line="360" w:before="0" w:after="0"/>
        <w:ind w:left="360" w:hanging="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O candidato será responsável por qualquer erro e/ou omissão nas informações prestadas na ficha de inscrição.</w:t>
      </w:r>
    </w:p>
    <w:p>
      <w:pPr>
        <w:pStyle w:val="Normal"/>
        <w:spacing w:lineRule="auto" w:line="360" w:before="0" w:after="0"/>
        <w:jc w:val="both"/>
        <w:rPr>
          <w:rFonts w:ascii="Arial" w:hAnsi="Arial" w:cs="Arial"/>
          <w:sz w:val="24"/>
          <w:szCs w:val="24"/>
        </w:rPr>
      </w:pPr>
      <w:r>
        <w:rPr>
          <w:rFonts w:cs="Arial" w:ascii="Arial" w:hAnsi="Arial"/>
          <w:sz w:val="24"/>
          <w:szCs w:val="24"/>
        </w:rPr>
        <w:t>O candidato que fizer qualquer declaração falsa, inexata, ou ainda, que não possa satisfazer todas as condições estabelecidas neste Edital, terá sua inscrição cancelada e, em consequência, anulados todos os atos dela decorrentes, mesmo que aprovado e que o fato seja constatado posteriormente.</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u w:val="single"/>
        </w:rPr>
      </w:pPr>
      <w:r>
        <w:rPr>
          <w:rFonts w:cs="Arial" w:ascii="Arial" w:hAnsi="Arial"/>
          <w:b/>
          <w:bCs/>
          <w:sz w:val="24"/>
          <w:szCs w:val="24"/>
          <w:u w:val="single"/>
        </w:rPr>
        <w:t xml:space="preserve">DAS PROVAS </w:t>
      </w:r>
    </w:p>
    <w:p>
      <w:pPr>
        <w:pStyle w:val="Normal"/>
        <w:widowControl w:val="false"/>
        <w:tabs>
          <w:tab w:val="clear" w:pos="708"/>
          <w:tab w:val="left" w:pos="778" w:leader="none"/>
        </w:tabs>
        <w:spacing w:lineRule="auto" w:line="360" w:before="94" w:after="0"/>
        <w:jc w:val="both"/>
        <w:rPr>
          <w:rFonts w:ascii="Arial" w:hAnsi="Arial"/>
          <w:sz w:val="24"/>
          <w:szCs w:val="24"/>
        </w:rPr>
      </w:pPr>
      <w:r>
        <w:rPr>
          <w:rFonts w:cs="Calibri" w:ascii="Arial" w:hAnsi="Arial"/>
          <w:b/>
          <w:bCs/>
          <w:color w:val="000009"/>
          <w:sz w:val="24"/>
          <w:szCs w:val="24"/>
        </w:rPr>
        <w:t>As provas escritas serão enviadas digitalmente ao e-mail informado no ato de inscrição, na data de 06</w:t>
      </w:r>
      <w:r>
        <w:rPr>
          <w:rFonts w:cs="Calibri" w:ascii="Arial" w:hAnsi="Arial"/>
          <w:b/>
          <w:bCs/>
          <w:color w:val="000000"/>
          <w:sz w:val="24"/>
          <w:szCs w:val="24"/>
        </w:rPr>
        <w:t xml:space="preserve">/05/2021, </w:t>
      </w:r>
      <w:r>
        <w:rPr>
          <w:rFonts w:cs="Calibri" w:ascii="Arial" w:hAnsi="Arial"/>
          <w:b/>
          <w:bCs/>
          <w:color w:val="000009"/>
          <w:sz w:val="24"/>
          <w:szCs w:val="24"/>
        </w:rPr>
        <w:t>até 10 (dez) minutos antes do horário marcado para a realização das provas.</w:t>
      </w:r>
      <w:r>
        <w:rPr>
          <w:rFonts w:ascii="Arial" w:hAnsi="Arial"/>
          <w:b/>
          <w:bCs/>
          <w:sz w:val="24"/>
          <w:szCs w:val="24"/>
        </w:rPr>
        <w:t xml:space="preserve"> </w:t>
      </w:r>
    </w:p>
    <w:p>
      <w:pPr>
        <w:pStyle w:val="Normal"/>
        <w:spacing w:lineRule="auto" w:line="360" w:before="95" w:after="0"/>
        <w:ind w:left="0" w:right="112" w:hanging="0"/>
        <w:jc w:val="both"/>
        <w:rPr/>
      </w:pPr>
      <w:r>
        <w:rPr>
          <w:rFonts w:ascii="Arial" w:hAnsi="Arial"/>
          <w:sz w:val="24"/>
          <w:szCs w:val="24"/>
        </w:rPr>
        <w:t xml:space="preserve">A prova terá duração única de </w:t>
      </w:r>
      <w:r>
        <w:rPr>
          <w:rFonts w:ascii="Arial" w:hAnsi="Arial"/>
          <w:b/>
          <w:sz w:val="24"/>
          <w:szCs w:val="24"/>
          <w:u w:val="single"/>
        </w:rPr>
        <w:t>03 horas (</w:t>
      </w:r>
      <w:r>
        <w:rPr>
          <w:rFonts w:eastAsia="Calibri" w:cs="Times New Roman" w:ascii="Arial" w:hAnsi="Arial"/>
          <w:b/>
          <w:color w:val="00000A"/>
          <w:kern w:val="0"/>
          <w:sz w:val="24"/>
          <w:szCs w:val="24"/>
          <w:u w:val="single"/>
          <w:lang w:val="pt-BR" w:eastAsia="en-US" w:bidi="ar-SA"/>
        </w:rPr>
        <w:t>três</w:t>
      </w:r>
      <w:r>
        <w:rPr>
          <w:rFonts w:ascii="Arial" w:hAnsi="Arial"/>
          <w:b/>
          <w:sz w:val="24"/>
          <w:szCs w:val="24"/>
          <w:u w:val="single"/>
        </w:rPr>
        <w:t xml:space="preserve"> horas), c</w:t>
      </w:r>
      <w:r>
        <w:rPr>
          <w:rFonts w:cs="Calibri" w:ascii="Arial" w:hAnsi="Arial"/>
          <w:b/>
          <w:bCs/>
          <w:color w:val="000000"/>
          <w:sz w:val="24"/>
          <w:szCs w:val="24"/>
          <w:u w:val="single"/>
        </w:rPr>
        <w:t>omeçando às 14:00 horas e terminando as 17:00</w:t>
      </w:r>
      <w:r>
        <w:rPr>
          <w:rFonts w:cs="Calibri" w:ascii="Arial" w:hAnsi="Arial"/>
          <w:b/>
          <w:color w:val="000000"/>
          <w:sz w:val="24"/>
          <w:szCs w:val="24"/>
          <w:u w:val="single"/>
        </w:rPr>
        <w:t xml:space="preserve">, tendo os candidatos mais uma hora para enviar as respostas das questões ao e-mail </w:t>
      </w:r>
      <w:hyperlink r:id="rId3">
        <w:r>
          <w:rPr>
            <w:rStyle w:val="LinkdaInternet"/>
            <w:rFonts w:cs="Calibri" w:ascii="Arial" w:hAnsi="Arial"/>
            <w:b/>
            <w:sz w:val="24"/>
            <w:szCs w:val="24"/>
          </w:rPr>
          <w:t>nucleobacabal@ma.def.br</w:t>
        </w:r>
      </w:hyperlink>
      <w:r>
        <w:rPr>
          <w:rFonts w:cs="Calibri" w:ascii="Arial" w:hAnsi="Arial"/>
          <w:b/>
          <w:color w:val="000000"/>
          <w:sz w:val="24"/>
          <w:szCs w:val="24"/>
          <w:u w:val="single"/>
        </w:rPr>
        <w:t xml:space="preserve">, impreterivelmente, </w:t>
      </w:r>
      <w:r>
        <w:rPr>
          <w:rFonts w:cs="Calibri" w:ascii="Arial" w:hAnsi="Arial"/>
          <w:b/>
          <w:bCs/>
          <w:color w:val="000000"/>
          <w:sz w:val="24"/>
          <w:szCs w:val="24"/>
          <w:u w:val="single"/>
        </w:rPr>
        <w:t xml:space="preserve">até as 18:00 do dia </w:t>
      </w:r>
      <w:r>
        <w:rPr>
          <w:rFonts w:eastAsia="Calibri" w:cs="Calibri" w:ascii="Arial" w:hAnsi="Arial"/>
          <w:b/>
          <w:bCs/>
          <w:color w:val="000000"/>
          <w:kern w:val="0"/>
          <w:sz w:val="24"/>
          <w:szCs w:val="24"/>
          <w:u w:val="single"/>
          <w:lang w:val="pt-BR" w:eastAsia="en-US" w:bidi="ar-SA"/>
        </w:rPr>
        <w:t>06</w:t>
      </w:r>
      <w:r>
        <w:rPr>
          <w:rFonts w:cs="Calibri" w:ascii="Arial" w:hAnsi="Arial"/>
          <w:b/>
          <w:bCs/>
          <w:color w:val="000000"/>
          <w:sz w:val="24"/>
          <w:szCs w:val="24"/>
          <w:u w:val="single"/>
        </w:rPr>
        <w:t>/05/2021.</w:t>
      </w:r>
    </w:p>
    <w:p>
      <w:pPr>
        <w:pStyle w:val="Corpodotexto"/>
        <w:spacing w:lineRule="auto" w:line="360" w:before="93" w:after="0"/>
        <w:ind w:left="0" w:right="114" w:hanging="0"/>
        <w:jc w:val="both"/>
        <w:rPr>
          <w:rFonts w:ascii="Arial" w:hAnsi="Arial"/>
          <w:sz w:val="24"/>
          <w:szCs w:val="24"/>
        </w:rPr>
      </w:pPr>
      <w:r>
        <w:rPr>
          <w:rFonts w:ascii="Arial" w:hAnsi="Arial"/>
          <w:sz w:val="24"/>
          <w:szCs w:val="24"/>
        </w:rPr>
        <w:t>Os aprovados serão convocados através de edital, publicado no site da DPE/MA. Todas as publicações serão feitas no site da DEFENSORIA PÚBLICA (defensoria.ma.def.br), cabendo ao candidato, ou interessado, seu devido acompanhamento;</w:t>
      </w:r>
    </w:p>
    <w:p>
      <w:pPr>
        <w:pStyle w:val="Corpodotexto"/>
        <w:spacing w:lineRule="auto" w:line="360" w:before="95" w:after="0"/>
        <w:ind w:left="102" w:right="115" w:hanging="0"/>
        <w:jc w:val="both"/>
        <w:rPr>
          <w:rFonts w:ascii="Arial" w:hAnsi="Arial"/>
          <w:sz w:val="24"/>
          <w:szCs w:val="24"/>
        </w:rPr>
      </w:pPr>
      <w:r>
        <w:rPr>
          <w:rFonts w:ascii="Arial" w:hAnsi="Arial"/>
          <w:sz w:val="24"/>
          <w:szCs w:val="24"/>
        </w:rPr>
        <w:t>O preenchimento das informações do currículo é de inteira responsabilidade do (a) candidato (a), ainda que a inscrição seja realizada por meio de procurador, cabendo-lhe mantê-las atualizadas junto à DPE/MA durante o período de validade do certame.</w:t>
      </w:r>
    </w:p>
    <w:p>
      <w:pPr>
        <w:pStyle w:val="Corpodotexto"/>
        <w:spacing w:lineRule="auto" w:line="360" w:before="93" w:after="0"/>
        <w:ind w:left="102" w:right="0" w:hanging="0"/>
        <w:jc w:val="both"/>
        <w:rPr>
          <w:rFonts w:ascii="Arial" w:hAnsi="Arial"/>
          <w:sz w:val="24"/>
          <w:szCs w:val="24"/>
        </w:rPr>
      </w:pPr>
      <w:bookmarkStart w:id="0" w:name="__DdeLink__465_3500227372"/>
      <w:r>
        <w:rPr>
          <w:rFonts w:ascii="Arial" w:hAnsi="Arial"/>
          <w:sz w:val="24"/>
          <w:szCs w:val="24"/>
        </w:rPr>
        <w:t>A prova subjetiva valerá de 0 (zero) a 5,0 (</w:t>
      </w:r>
      <w:r>
        <w:rPr>
          <w:rFonts w:eastAsia="Calibri" w:cs="Calibri" w:ascii="Arial" w:hAnsi="Arial"/>
          <w:sz w:val="24"/>
          <w:szCs w:val="24"/>
          <w:lang w:val="pt-PT" w:eastAsia="en-US" w:bidi="ar-SA"/>
        </w:rPr>
        <w:t>cinco</w:t>
      </w:r>
      <w:r>
        <w:rPr>
          <w:rFonts w:ascii="Arial" w:hAnsi="Arial"/>
          <w:sz w:val="24"/>
          <w:szCs w:val="24"/>
        </w:rPr>
        <w:t>) pontos</w:t>
      </w:r>
      <w:bookmarkEnd w:id="0"/>
      <w:r>
        <w:rPr>
          <w:rFonts w:ascii="Arial" w:hAnsi="Arial"/>
          <w:sz w:val="24"/>
          <w:szCs w:val="24"/>
        </w:rPr>
        <w:t xml:space="preserve">, consubstanciadas em </w:t>
      </w:r>
      <w:r>
        <w:rPr>
          <w:rFonts w:eastAsia="Calibri" w:cs="Calibri" w:ascii="Arial" w:hAnsi="Arial"/>
          <w:sz w:val="24"/>
          <w:szCs w:val="24"/>
          <w:lang w:val="pt-PT" w:eastAsia="en-US" w:bidi="ar-SA"/>
        </w:rPr>
        <w:t xml:space="preserve">duas </w:t>
      </w:r>
      <w:r>
        <w:rPr>
          <w:rFonts w:ascii="Arial" w:hAnsi="Arial"/>
          <w:sz w:val="24"/>
          <w:szCs w:val="24"/>
        </w:rPr>
        <w:t xml:space="preserve">questões, envolvendo as matérias disciplinadas no anexo I.                                                                                                                                                         </w:t>
      </w:r>
    </w:p>
    <w:p>
      <w:pPr>
        <w:pStyle w:val="Normal"/>
        <w:spacing w:lineRule="auto" w:line="360" w:before="93" w:after="0"/>
        <w:ind w:left="102" w:right="118" w:hanging="0"/>
        <w:jc w:val="both"/>
        <w:rPr/>
      </w:pPr>
      <w:r>
        <w:rPr>
          <w:rFonts w:ascii="Arial" w:hAnsi="Arial"/>
          <w:sz w:val="24"/>
          <w:szCs w:val="24"/>
        </w:rPr>
        <w:t xml:space="preserve">A Avaliação levará em conta o grau de conhecimento demonstrado de acordo com a legislação, doutrina e jurisprudência nacionais, a fluência e a coerência da exposição, a lógica jurídica e o uso correto do vernáculo, </w:t>
      </w:r>
      <w:r>
        <w:rPr>
          <w:rFonts w:ascii="Arial" w:hAnsi="Arial"/>
          <w:b/>
          <w:color w:val="000009"/>
          <w:sz w:val="24"/>
          <w:szCs w:val="24"/>
        </w:rPr>
        <w:t>podendo ser descontados pontos pela não utilização correta da língua</w:t>
      </w:r>
      <w:r>
        <w:rPr>
          <w:rFonts w:ascii="Arial" w:hAnsi="Arial"/>
          <w:b/>
          <w:color w:val="000009"/>
          <w:spacing w:val="-26"/>
          <w:sz w:val="24"/>
          <w:szCs w:val="24"/>
        </w:rPr>
        <w:t xml:space="preserve"> </w:t>
      </w:r>
      <w:r>
        <w:rPr>
          <w:rFonts w:ascii="Arial" w:hAnsi="Arial"/>
          <w:b/>
          <w:color w:val="000009"/>
          <w:sz w:val="24"/>
          <w:szCs w:val="24"/>
        </w:rPr>
        <w:t>portuguesa.</w:t>
      </w:r>
    </w:p>
    <w:p>
      <w:pPr>
        <w:pStyle w:val="Normal"/>
        <w:spacing w:lineRule="auto" w:line="360" w:before="93" w:after="0"/>
        <w:ind w:left="102" w:right="118" w:hanging="0"/>
        <w:jc w:val="both"/>
        <w:rPr>
          <w:rFonts w:ascii="Arial" w:hAnsi="Arial"/>
          <w:b/>
          <w:b/>
          <w:color w:val="000009"/>
          <w:sz w:val="24"/>
          <w:szCs w:val="24"/>
        </w:rPr>
      </w:pPr>
      <w:r>
        <w:rPr>
          <w:rFonts w:ascii="Arial" w:hAnsi="Arial"/>
          <w:b/>
          <w:color w:val="000009"/>
          <w:sz w:val="24"/>
          <w:szCs w:val="24"/>
        </w:rPr>
      </w:r>
    </w:p>
    <w:p>
      <w:pPr>
        <w:pStyle w:val="Corpodotexto"/>
        <w:spacing w:lineRule="auto" w:line="360" w:before="95" w:after="0"/>
        <w:ind w:left="102" w:right="113" w:hanging="0"/>
        <w:jc w:val="both"/>
        <w:rPr/>
      </w:pPr>
      <w:r>
        <w:rPr>
          <w:rFonts w:ascii="Arial" w:hAnsi="Arial"/>
          <w:b/>
          <w:bCs/>
          <w:color w:val="000009"/>
          <w:sz w:val="24"/>
          <w:u w:val="single"/>
        </w:rPr>
        <w:t>DA ENTREVISTA</w:t>
      </w:r>
    </w:p>
    <w:p>
      <w:pPr>
        <w:pStyle w:val="Corpodotexto"/>
        <w:spacing w:lineRule="auto" w:line="360" w:before="95" w:after="0"/>
        <w:ind w:right="113" w:hanging="0"/>
        <w:jc w:val="both"/>
        <w:rPr/>
      </w:pPr>
      <w:r>
        <w:rPr>
          <w:rFonts w:ascii="Arial" w:hAnsi="Arial"/>
          <w:color w:val="000009"/>
          <w:sz w:val="24"/>
        </w:rPr>
        <w:t xml:space="preserve">Os candidatos que obtiverem 60% (sessenta por cento) na prova escrita discursiva serão submetidos à entrevista pessoal a ser realizada na data de </w:t>
      </w:r>
      <w:r>
        <w:rPr>
          <w:rFonts w:ascii="Arial" w:hAnsi="Arial"/>
          <w:b/>
          <w:bCs/>
          <w:color w:val="000009"/>
          <w:sz w:val="24"/>
          <w:u w:val="single"/>
        </w:rPr>
        <w:t>11/</w:t>
      </w:r>
      <w:r>
        <w:rPr>
          <w:rFonts w:ascii="Arial" w:hAnsi="Arial"/>
          <w:b/>
          <w:color w:val="000009"/>
          <w:sz w:val="24"/>
          <w:u w:val="single" w:color="000009"/>
        </w:rPr>
        <w:t>05/2021, com</w:t>
      </w:r>
      <w:r>
        <w:rPr>
          <w:rFonts w:ascii="Arial" w:hAnsi="Arial"/>
          <w:b/>
          <w:color w:val="000009"/>
          <w:sz w:val="24"/>
        </w:rPr>
        <w:t xml:space="preserve"> </w:t>
      </w:r>
      <w:r>
        <w:rPr>
          <w:rFonts w:ascii="Arial" w:hAnsi="Arial"/>
          <w:b/>
          <w:color w:val="000009"/>
          <w:sz w:val="24"/>
          <w:u w:val="single" w:color="000009"/>
        </w:rPr>
        <w:t>início às 14:00h</w:t>
      </w:r>
      <w:r>
        <w:rPr>
          <w:rFonts w:ascii="Arial" w:hAnsi="Arial"/>
          <w:color w:val="000009"/>
          <w:sz w:val="24"/>
        </w:rPr>
        <w:t>,</w:t>
      </w:r>
      <w:r>
        <w:rPr>
          <w:rFonts w:ascii="Arial" w:hAnsi="Arial"/>
          <w:b/>
          <w:color w:val="000009"/>
          <w:sz w:val="24"/>
          <w:u w:val="single" w:color="000009"/>
        </w:rPr>
        <w:t xml:space="preserve"> através de videoconferência, sendo os selecionados comunicados</w:t>
      </w:r>
      <w:r>
        <w:rPr>
          <w:rFonts w:ascii="Arial" w:hAnsi="Arial"/>
          <w:b/>
          <w:color w:val="000009"/>
          <w:sz w:val="24"/>
        </w:rPr>
        <w:t xml:space="preserve"> </w:t>
      </w:r>
      <w:r>
        <w:rPr>
          <w:rFonts w:ascii="Arial" w:hAnsi="Arial"/>
          <w:b/>
          <w:color w:val="000009"/>
          <w:sz w:val="24"/>
          <w:u w:val="single" w:color="000009"/>
        </w:rPr>
        <w:t>previamente do dia e horário.</w:t>
      </w:r>
    </w:p>
    <w:p>
      <w:pPr>
        <w:pStyle w:val="Normal"/>
        <w:spacing w:lineRule="auto" w:line="360" w:before="0" w:after="0"/>
        <w:jc w:val="both"/>
        <w:rPr/>
      </w:pPr>
      <w:r>
        <w:rPr>
          <w:rFonts w:cs="Arial" w:ascii="Arial" w:hAnsi="Arial"/>
          <w:sz w:val="24"/>
          <w:szCs w:val="24"/>
        </w:rPr>
        <w:t xml:space="preserve">A </w:t>
      </w:r>
      <w:r>
        <w:rPr>
          <w:rFonts w:eastAsia="Calibri" w:cs="Arial" w:ascii="Arial" w:hAnsi="Arial"/>
          <w:color w:val="00000A"/>
          <w:kern w:val="0"/>
          <w:sz w:val="24"/>
          <w:szCs w:val="24"/>
          <w:lang w:val="pt-BR" w:eastAsia="en-US" w:bidi="ar-SA"/>
        </w:rPr>
        <w:t>entrevista</w:t>
      </w:r>
      <w:r>
        <w:rPr>
          <w:rFonts w:cs="Arial" w:ascii="Arial" w:hAnsi="Arial"/>
          <w:sz w:val="24"/>
          <w:szCs w:val="24"/>
        </w:rPr>
        <w:t xml:space="preserve"> valerá de 0 (zero) a 5,0 (</w:t>
      </w:r>
      <w:r>
        <w:rPr>
          <w:rFonts w:eastAsia="Calibri" w:cs="Calibri" w:ascii="Arial" w:hAnsi="Arial"/>
          <w:sz w:val="24"/>
          <w:szCs w:val="24"/>
          <w:lang w:val="pt-PT" w:eastAsia="en-US" w:bidi="ar-SA"/>
        </w:rPr>
        <w:t>cinco</w:t>
      </w:r>
      <w:r>
        <w:rPr>
          <w:rFonts w:cs="Arial" w:ascii="Arial" w:hAnsi="Arial"/>
          <w:sz w:val="24"/>
          <w:szCs w:val="24"/>
        </w:rPr>
        <w:t xml:space="preserve">) pontos, onde </w:t>
      </w:r>
      <w:r>
        <w:rPr>
          <w:rFonts w:eastAsia="Calibri" w:cs="Arial" w:ascii="Arial" w:hAnsi="Arial"/>
          <w:color w:val="00000A"/>
          <w:kern w:val="0"/>
          <w:sz w:val="24"/>
          <w:szCs w:val="24"/>
          <w:lang w:val="pt-BR" w:eastAsia="en-US" w:bidi="ar-SA"/>
        </w:rPr>
        <w:t xml:space="preserve">poderão ser </w:t>
      </w:r>
      <w:r>
        <w:rPr>
          <w:rFonts w:cs="Arial" w:ascii="Arial" w:hAnsi="Arial"/>
          <w:sz w:val="24"/>
          <w:szCs w:val="24"/>
        </w:rPr>
        <w:t>abordados conhecimentos teóricos, nos termos do Conteúdo Programático contido no Anexo I deste Edital.</w:t>
      </w:r>
    </w:p>
    <w:p>
      <w:pPr>
        <w:pStyle w:val="Normal"/>
        <w:spacing w:lineRule="auto" w:line="360" w:before="0" w:after="0"/>
        <w:jc w:val="both"/>
        <w:rPr/>
      </w:pPr>
      <w:r>
        <w:rPr>
          <w:rFonts w:cs="Arial" w:ascii="Arial" w:hAnsi="Arial"/>
          <w:sz w:val="24"/>
          <w:szCs w:val="24"/>
        </w:rPr>
        <w:t>A data poderá ser alterada por necessidade da Defensoria Pública do Estado do Maranhão.</w:t>
      </w:r>
    </w:p>
    <w:p>
      <w:pPr>
        <w:pStyle w:val="Normal"/>
        <w:spacing w:lineRule="auto" w:line="360" w:before="0" w:after="0"/>
        <w:jc w:val="both"/>
        <w:rPr/>
      </w:pPr>
      <w:r>
        <w:rPr>
          <w:rFonts w:cs="Arial" w:ascii="Arial" w:hAnsi="Arial"/>
          <w:sz w:val="24"/>
          <w:szCs w:val="24"/>
        </w:rPr>
        <w:t xml:space="preserve">É de inteira responsabilidade do candidato acompanhar a publicação de todos os atos, editais e comunicados referentes a este processo seletivo, os quais serão publicados no </w:t>
      </w:r>
      <w:r>
        <w:rPr>
          <w:rFonts w:cs="Arial" w:ascii="Arial" w:hAnsi="Arial"/>
          <w:b/>
          <w:sz w:val="24"/>
          <w:szCs w:val="24"/>
        </w:rPr>
        <w:t xml:space="preserve">site da Defensoria Pública: </w:t>
      </w:r>
      <w:hyperlink r:id="rId4">
        <w:r>
          <w:rPr>
            <w:rStyle w:val="LinkdaInternet"/>
            <w:rFonts w:cs="Arial" w:ascii="Arial" w:hAnsi="Arial"/>
            <w:b/>
            <w:sz w:val="24"/>
            <w:szCs w:val="24"/>
            <w:u w:val="single"/>
          </w:rPr>
          <w:t>www.defensoria.ma.def.br/seletivo</w:t>
        </w:r>
      </w:hyperlink>
      <w:r>
        <w:rPr>
          <w:rFonts w:cs="Arial" w:ascii="Arial" w:hAnsi="Arial"/>
          <w:b/>
          <w:sz w:val="24"/>
          <w:szCs w:val="24"/>
        </w:rPr>
        <w:t>.</w:t>
      </w:r>
    </w:p>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pPr>
      <w:r>
        <w:rPr>
          <w:rFonts w:cs="Arial" w:ascii="Arial" w:hAnsi="Arial"/>
          <w:b/>
          <w:sz w:val="24"/>
          <w:szCs w:val="24"/>
          <w:u w:val="single"/>
        </w:rPr>
        <w:t>DO RESULTADO DAS PROVAS</w:t>
      </w:r>
    </w:p>
    <w:p>
      <w:pPr>
        <w:pStyle w:val="Corpodotexto"/>
        <w:spacing w:lineRule="auto" w:line="259" w:before="183" w:after="0"/>
        <w:ind w:left="0" w:right="112" w:hanging="0"/>
        <w:jc w:val="both"/>
        <w:rPr>
          <w:rFonts w:ascii="Arial" w:hAnsi="Arial"/>
          <w:sz w:val="24"/>
          <w:szCs w:val="24"/>
        </w:rPr>
      </w:pPr>
      <w:r>
        <w:rPr>
          <w:rFonts w:ascii="Arial" w:hAnsi="Arial"/>
          <w:sz w:val="24"/>
          <w:szCs w:val="24"/>
        </w:rPr>
        <w:t xml:space="preserve">O resultado de presente certame será publicado no site da DPE/MA até </w:t>
      </w:r>
      <w:r>
        <w:rPr>
          <w:rFonts w:ascii="Arial" w:hAnsi="Arial"/>
          <w:b/>
          <w:bCs/>
          <w:sz w:val="24"/>
          <w:szCs w:val="24"/>
        </w:rPr>
        <w:t>12</w:t>
      </w:r>
      <w:r>
        <w:rPr>
          <w:rFonts w:ascii="Arial" w:hAnsi="Arial"/>
          <w:b/>
          <w:sz w:val="24"/>
          <w:szCs w:val="24"/>
        </w:rPr>
        <w:t xml:space="preserve">/05/2021. </w:t>
      </w:r>
    </w:p>
    <w:p>
      <w:pPr>
        <w:pStyle w:val="Corpodotexto"/>
        <w:spacing w:lineRule="auto" w:line="259" w:before="159" w:after="0"/>
        <w:ind w:left="0" w:right="117" w:hanging="0"/>
        <w:jc w:val="both"/>
        <w:rPr/>
      </w:pPr>
      <w:r>
        <w:rPr>
          <w:rFonts w:ascii="Arial" w:hAnsi="Arial"/>
          <w:sz w:val="24"/>
          <w:szCs w:val="24"/>
        </w:rPr>
        <w:t xml:space="preserve">Será admitido recurso unicamente contra erros materiais de soma das notas, que deve ser dirigido ao </w:t>
      </w:r>
      <w:r>
        <w:rPr>
          <w:rFonts w:eastAsia="Calibri" w:cs="Calibri" w:ascii="Arial" w:hAnsi="Arial"/>
          <w:sz w:val="24"/>
          <w:szCs w:val="24"/>
          <w:lang w:val="pt-BR" w:eastAsia="en-US" w:bidi="ar-SA"/>
        </w:rPr>
        <w:t xml:space="preserve">Presidente deste Processo Seletivo </w:t>
      </w:r>
      <w:r>
        <w:rPr>
          <w:rFonts w:ascii="Arial" w:hAnsi="Arial"/>
          <w:sz w:val="24"/>
          <w:szCs w:val="24"/>
        </w:rPr>
        <w:t xml:space="preserve"> até 17:00h do dia </w:t>
      </w:r>
      <w:r>
        <w:rPr>
          <w:rFonts w:eastAsia="Calibri" w:cs="Times New Roman" w:ascii="Arial" w:hAnsi="Arial"/>
          <w:b/>
          <w:color w:val="00000A"/>
          <w:kern w:val="0"/>
          <w:sz w:val="24"/>
          <w:szCs w:val="24"/>
          <w:lang w:val="pt-BR" w:eastAsia="en-US" w:bidi="ar-SA"/>
        </w:rPr>
        <w:t>12</w:t>
      </w:r>
      <w:r>
        <w:rPr>
          <w:rFonts w:ascii="Arial" w:hAnsi="Arial"/>
          <w:b/>
          <w:sz w:val="24"/>
          <w:szCs w:val="24"/>
        </w:rPr>
        <w:t>/05/2021</w:t>
      </w:r>
      <w:r>
        <w:rPr>
          <w:rFonts w:ascii="Arial" w:hAnsi="Arial"/>
          <w:sz w:val="24"/>
          <w:szCs w:val="24"/>
        </w:rPr>
        <w:t xml:space="preserve">, exclusivamente via e-mail ao endereço </w:t>
      </w:r>
      <w:hyperlink r:id="rId5">
        <w:r>
          <w:rPr>
            <w:rStyle w:val="ListLabel53"/>
            <w:rFonts w:ascii="Arial" w:hAnsi="Arial"/>
            <w:color w:val="0462C1"/>
            <w:sz w:val="24"/>
            <w:szCs w:val="24"/>
            <w:u w:val="single" w:color="0462C1"/>
          </w:rPr>
          <w:t>nucleobacabal@ma.def.br</w:t>
        </w:r>
      </w:hyperlink>
    </w:p>
    <w:p>
      <w:pPr>
        <w:pStyle w:val="Corpodotexto"/>
        <w:spacing w:lineRule="auto" w:line="259" w:before="160" w:after="0"/>
        <w:ind w:left="0" w:right="120" w:hanging="0"/>
        <w:jc w:val="both"/>
        <w:rPr/>
      </w:pPr>
      <w:r>
        <w:rPr>
          <w:rFonts w:cs="Arial" w:ascii="Arial" w:hAnsi="Arial"/>
          <w:sz w:val="24"/>
          <w:szCs w:val="24"/>
        </w:rPr>
        <w:t>A comissão de seleção divulgará os resultados dos recursos, com as alterações de notas e classificação porventura</w:t>
      </w:r>
      <w:r>
        <w:rPr>
          <w:rFonts w:cs="Arial" w:ascii="Arial" w:hAnsi="Arial"/>
          <w:spacing w:val="-3"/>
          <w:sz w:val="24"/>
          <w:szCs w:val="24"/>
        </w:rPr>
        <w:t xml:space="preserve"> </w:t>
      </w:r>
      <w:r>
        <w:rPr>
          <w:rFonts w:cs="Arial" w:ascii="Arial" w:hAnsi="Arial"/>
          <w:sz w:val="24"/>
          <w:szCs w:val="24"/>
        </w:rPr>
        <w:t>verificados.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 ADMISSÃO</w:t>
      </w:r>
    </w:p>
    <w:p>
      <w:pPr>
        <w:pStyle w:val="Normal"/>
        <w:spacing w:lineRule="auto" w:line="360" w:before="0" w:after="0"/>
        <w:jc w:val="both"/>
        <w:rPr/>
      </w:pPr>
      <w:r>
        <w:rPr>
          <w:rFonts w:cs="Arial" w:ascii="Arial" w:hAnsi="Arial"/>
          <w:sz w:val="24"/>
          <w:szCs w:val="24"/>
        </w:rPr>
        <w:t>Para ingressar em estágio de Pós-Graduação em Direito na Defensoria Pública do Estado do Maranhão, o candidato deverá:</w:t>
      </w:r>
    </w:p>
    <w:p>
      <w:pPr>
        <w:pStyle w:val="ListParagraph"/>
        <w:numPr>
          <w:ilvl w:val="0"/>
          <w:numId w:val="3"/>
        </w:numPr>
        <w:spacing w:lineRule="auto" w:line="360" w:before="0" w:after="0"/>
        <w:contextualSpacing/>
        <w:jc w:val="both"/>
        <w:rPr/>
      </w:pPr>
      <w:r>
        <w:rPr>
          <w:rFonts w:cs="Arial" w:ascii="Arial" w:hAnsi="Arial"/>
          <w:sz w:val="24"/>
          <w:szCs w:val="24"/>
        </w:rPr>
        <w:t>Ter sido aprovado no processo seletivo;</w:t>
      </w:r>
    </w:p>
    <w:p>
      <w:pPr>
        <w:pStyle w:val="ListParagraph"/>
        <w:numPr>
          <w:ilvl w:val="0"/>
          <w:numId w:val="3"/>
        </w:numPr>
        <w:spacing w:lineRule="auto" w:line="360" w:before="0" w:after="0"/>
        <w:contextualSpacing/>
        <w:jc w:val="both"/>
        <w:rPr/>
      </w:pPr>
      <w:r>
        <w:rPr>
          <w:rFonts w:cs="Arial" w:ascii="Arial" w:hAnsi="Arial"/>
          <w:sz w:val="24"/>
          <w:szCs w:val="24"/>
        </w:rPr>
        <w:t>Ser bacharel em Direito;</w:t>
      </w:r>
    </w:p>
    <w:p>
      <w:pPr>
        <w:pStyle w:val="ListParagraph"/>
        <w:numPr>
          <w:ilvl w:val="0"/>
          <w:numId w:val="3"/>
        </w:numPr>
        <w:spacing w:lineRule="auto" w:line="360" w:before="0" w:after="0"/>
        <w:contextualSpacing/>
        <w:jc w:val="both"/>
        <w:rPr/>
      </w:pPr>
      <w:r>
        <w:rPr>
          <w:rFonts w:cs="Arial" w:ascii="Arial" w:hAnsi="Arial"/>
          <w:sz w:val="24"/>
          <w:szCs w:val="24"/>
        </w:rPr>
        <w:t>Estar regularmente matriculado em curso de Pós-Graduação, em nível de especialização, mestrado, doutorado ou pós-doutorado, em Direito por Instituição devidamente conveniada com a Defensoria Pública do Estado do Maranhão;</w:t>
      </w:r>
    </w:p>
    <w:p>
      <w:pPr>
        <w:pStyle w:val="ListParagraph"/>
        <w:numPr>
          <w:ilvl w:val="0"/>
          <w:numId w:val="3"/>
        </w:numPr>
        <w:spacing w:lineRule="auto" w:line="360" w:before="0" w:after="0"/>
        <w:contextualSpacing/>
        <w:jc w:val="both"/>
        <w:rPr/>
      </w:pPr>
      <w:r>
        <w:rPr>
          <w:rFonts w:cs="Arial" w:ascii="Arial" w:hAnsi="Arial"/>
          <w:sz w:val="24"/>
          <w:szCs w:val="24"/>
        </w:rPr>
        <w:t>Firmar termo de compromisso com a Defensoria Pública do Estado do Maranhão;</w:t>
      </w:r>
    </w:p>
    <w:p>
      <w:pPr>
        <w:pStyle w:val="ListParagraph"/>
        <w:numPr>
          <w:ilvl w:val="0"/>
          <w:numId w:val="3"/>
        </w:numPr>
        <w:spacing w:lineRule="auto" w:line="360" w:before="0" w:after="0"/>
        <w:contextualSpacing/>
        <w:jc w:val="both"/>
        <w:rPr/>
      </w:pPr>
      <w:r>
        <w:rPr>
          <w:rFonts w:cs="Arial" w:ascii="Arial" w:hAnsi="Arial"/>
          <w:sz w:val="24"/>
          <w:szCs w:val="24"/>
        </w:rPr>
        <w:t>Comprovar, quando for o caso, estar em dia com as obrigações militares e no pleno gozo dos direitos políticos;</w:t>
      </w:r>
    </w:p>
    <w:p>
      <w:pPr>
        <w:pStyle w:val="ListParagraph"/>
        <w:numPr>
          <w:ilvl w:val="0"/>
          <w:numId w:val="3"/>
        </w:numPr>
        <w:spacing w:lineRule="auto" w:line="360" w:before="0" w:after="0"/>
        <w:contextualSpacing/>
        <w:jc w:val="both"/>
        <w:rPr/>
      </w:pPr>
      <w:r>
        <w:rPr>
          <w:rFonts w:cs="Arial" w:ascii="Arial" w:hAnsi="Arial"/>
          <w:sz w:val="24"/>
          <w:szCs w:val="24"/>
        </w:rPr>
        <w:t>Apresentar, além de certificado de matrícula em curso de Pós graduação, declaração de que pode dispor 20 horas semanais, de tempo suficiente para dedicação exclusivo ao estágio e atestado médico que comprove aptidão clínica para o exercício da função.</w:t>
      </w:r>
    </w:p>
    <w:p>
      <w:pPr>
        <w:pStyle w:val="ListParagraph"/>
        <w:numPr>
          <w:ilvl w:val="0"/>
          <w:numId w:val="0"/>
        </w:numPr>
        <w:spacing w:lineRule="auto" w:line="360" w:before="0" w:after="0"/>
        <w:ind w:left="720" w:hanging="0"/>
        <w:contextualSpacing/>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O curso de Pós graduação em Direito deverá atender, ainda às seguintes exigências: possuir carga-horária mínima de 360 (trezentos e sessenta) horas-aula; ser ministrado, de forma direta ou conveniada, presencial ou à distância, por instituição de ensino credenciada ou reconhecida pelo Ministério da Educação ou pelo Conselho Estadual de Educação; ter autorização e Reconhecimento do Ministério da Educação.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Por ocasião da contratação deverão ser apresentados originais e cópias dos seguintes documentos: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CPF;</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Carteira de Identidade – RG;</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Residência;</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Histórico Escolar;</w:t>
      </w:r>
    </w:p>
    <w:p>
      <w:pPr>
        <w:pStyle w:val="ListParagraph"/>
        <w:numPr>
          <w:ilvl w:val="0"/>
          <w:numId w:val="4"/>
        </w:numPr>
        <w:spacing w:lineRule="auto" w:line="360" w:before="0" w:after="0"/>
        <w:contextualSpacing/>
        <w:jc w:val="both"/>
        <w:rPr/>
      </w:pPr>
      <w:r>
        <w:rPr>
          <w:rFonts w:cs="Arial" w:ascii="Arial" w:hAnsi="Arial"/>
          <w:sz w:val="24"/>
          <w:szCs w:val="24"/>
        </w:rPr>
        <w:t xml:space="preserve">Declaração de matrícula emitida pela instituição de ensino, contendo informações, sobre a carga horária, a matrícula, o período cursado, a frequência regular e das datas previstas de início e término; </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quitação de obrigações militares e eleitorais;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2 fotos 3x4;</w:t>
      </w:r>
    </w:p>
    <w:p>
      <w:pPr>
        <w:pStyle w:val="ListParagraph"/>
        <w:numPr>
          <w:ilvl w:val="0"/>
          <w:numId w:val="4"/>
        </w:numPr>
        <w:spacing w:lineRule="auto" w:line="360" w:before="0" w:after="0"/>
        <w:contextualSpacing/>
        <w:jc w:val="both"/>
        <w:rPr/>
      </w:pPr>
      <w:r>
        <w:rPr>
          <w:rFonts w:cs="Arial" w:ascii="Arial" w:hAnsi="Arial"/>
          <w:sz w:val="24"/>
          <w:szCs w:val="24"/>
        </w:rPr>
        <w:t>Diploma de bacharel em Direito, reconhecido pelo Ministério da Educação ou certidão de conclusão de curso;</w:t>
      </w:r>
    </w:p>
    <w:p>
      <w:pPr>
        <w:pStyle w:val="ListParagraph"/>
        <w:numPr>
          <w:ilvl w:val="0"/>
          <w:numId w:val="4"/>
        </w:numPr>
        <w:spacing w:lineRule="auto" w:line="360" w:before="0" w:after="0"/>
        <w:contextualSpacing/>
        <w:jc w:val="both"/>
        <w:rPr/>
      </w:pPr>
      <w:r>
        <w:rPr>
          <w:rFonts w:cs="Arial" w:ascii="Arial" w:hAnsi="Arial"/>
          <w:sz w:val="24"/>
          <w:szCs w:val="24"/>
        </w:rPr>
        <w:t xml:space="preserve">Declaração de não exercer, cumulativamente com o estágio, atividades concomitantes em outro ramo </w:t>
      </w:r>
      <w:r>
        <w:rPr>
          <w:rFonts w:cs="Arial" w:ascii="Arial" w:hAnsi="Arial"/>
          <w:b/>
          <w:sz w:val="24"/>
          <w:szCs w:val="24"/>
        </w:rPr>
        <w:t>da Defensoria</w:t>
      </w:r>
      <w:r>
        <w:rPr>
          <w:rFonts w:cs="Arial" w:ascii="Arial" w:hAnsi="Arial"/>
          <w:sz w:val="24"/>
          <w:szCs w:val="24"/>
        </w:rPr>
        <w:t xml:space="preserve"> </w:t>
      </w:r>
      <w:r>
        <w:rPr>
          <w:rFonts w:cs="Arial" w:ascii="Arial" w:hAnsi="Arial"/>
          <w:b/>
          <w:sz w:val="24"/>
          <w:szCs w:val="24"/>
        </w:rPr>
        <w:t>Pública</w:t>
      </w:r>
      <w:r>
        <w:rPr>
          <w:rFonts w:cs="Arial" w:ascii="Arial" w:hAnsi="Arial"/>
          <w:sz w:val="24"/>
          <w:szCs w:val="24"/>
        </w:rPr>
        <w:t xml:space="preserve">, ou privada, ou o estágio nessas áreas, bem como o desempenho de função ou estagio no Poder Judiciário ou na Polícia Civil ou Federal; </w:t>
      </w:r>
    </w:p>
    <w:p>
      <w:pPr>
        <w:pStyle w:val="ListParagraph"/>
        <w:numPr>
          <w:ilvl w:val="0"/>
          <w:numId w:val="4"/>
        </w:numPr>
        <w:spacing w:lineRule="auto" w:line="360"/>
        <w:jc w:val="both"/>
        <w:rPr/>
      </w:pPr>
      <w:r>
        <w:rPr>
          <w:rFonts w:cs="Arial" w:ascii="Arial" w:hAnsi="Arial"/>
          <w:sz w:val="24"/>
          <w:szCs w:val="24"/>
        </w:rPr>
        <w:t>Certidões dos distribuidores criminais das justiças federal e estadual ou do distrito federal dos lugares em que haja residido nos últimos 05 anos, expedidas, no prazo máximo de 30 dias, respeitando o prazo de validade descrito na própria certidão, quando houver;</w:t>
      </w:r>
    </w:p>
    <w:p>
      <w:pPr>
        <w:pStyle w:val="ListParagraph"/>
        <w:numPr>
          <w:ilvl w:val="0"/>
          <w:numId w:val="4"/>
        </w:numPr>
        <w:spacing w:lineRule="auto" w:line="360"/>
        <w:jc w:val="both"/>
        <w:rPr/>
      </w:pPr>
      <w:r>
        <w:rPr>
          <w:rFonts w:cs="Arial" w:ascii="Arial" w:hAnsi="Arial"/>
          <w:sz w:val="24"/>
          <w:szCs w:val="24"/>
        </w:rPr>
        <w:t>Em se tratando de indivíduos inscrito como pessoa que possui algum tipo de deficiência faz-se necessária a apresentação do laudo médico comprobatório;</w:t>
      </w:r>
    </w:p>
    <w:p>
      <w:pPr>
        <w:pStyle w:val="ListParagraph"/>
        <w:numPr>
          <w:ilvl w:val="0"/>
          <w:numId w:val="4"/>
        </w:numPr>
        <w:spacing w:lineRule="auto" w:line="360"/>
        <w:jc w:val="both"/>
        <w:rPr/>
      </w:pPr>
      <w:r>
        <w:rPr>
          <w:rFonts w:cs="Arial" w:ascii="Arial" w:hAnsi="Arial"/>
          <w:sz w:val="24"/>
          <w:szCs w:val="24"/>
        </w:rPr>
        <w:t>Comprovante de conta-corrente, preferencialmente Banco do Brasil;</w:t>
      </w:r>
    </w:p>
    <w:p>
      <w:pPr>
        <w:pStyle w:val="Normal"/>
        <w:spacing w:lineRule="auto" w:line="360"/>
        <w:jc w:val="both"/>
        <w:rPr/>
      </w:pPr>
      <w:r>
        <w:rPr>
          <w:rFonts w:cs="Arial" w:ascii="Arial" w:hAnsi="Arial"/>
          <w:sz w:val="24"/>
          <w:szCs w:val="24"/>
        </w:rPr>
        <w:t>Só serão admitidos como estagiários os estudantes de instituições de ensino conveniadas com a Defensoria Pública Geral do Estado do Maranhão.</w:t>
      </w:r>
    </w:p>
    <w:p>
      <w:pPr>
        <w:pStyle w:val="Normal"/>
        <w:spacing w:lineRule="auto" w:line="360"/>
        <w:jc w:val="both"/>
        <w:rPr/>
      </w:pPr>
      <w:r>
        <w:rPr>
          <w:rFonts w:cs="Arial" w:ascii="Arial" w:hAnsi="Arial"/>
          <w:b/>
          <w:sz w:val="24"/>
          <w:szCs w:val="24"/>
          <w:u w:val="single"/>
        </w:rPr>
        <w:t>DAS DISPOSIÇÕES FINAIS</w:t>
      </w:r>
    </w:p>
    <w:p>
      <w:pPr>
        <w:pStyle w:val="Normal"/>
        <w:spacing w:lineRule="auto" w:line="360"/>
        <w:jc w:val="both"/>
        <w:rPr>
          <w:rFonts w:ascii="Arial" w:hAnsi="Arial" w:cs="Arial"/>
          <w:sz w:val="24"/>
          <w:szCs w:val="24"/>
        </w:rPr>
      </w:pPr>
      <w:r>
        <w:rPr>
          <w:rFonts w:cs="Arial" w:ascii="Arial" w:hAnsi="Arial"/>
          <w:sz w:val="24"/>
          <w:szCs w:val="24"/>
        </w:rPr>
        <w:t>A inscrição implica na aceitação por parte do candidato de todos os princípios, normas e condições do processo seletivo, estabelecidos no presente Edital e na legislação pertinente.</w:t>
      </w:r>
    </w:p>
    <w:p>
      <w:pPr>
        <w:pStyle w:val="Normal"/>
        <w:spacing w:lineRule="auto" w:line="360"/>
        <w:jc w:val="both"/>
        <w:rPr>
          <w:rFonts w:ascii="Arial" w:hAnsi="Arial" w:cs="Arial"/>
          <w:sz w:val="24"/>
          <w:szCs w:val="24"/>
        </w:rPr>
      </w:pPr>
      <w:r>
        <w:rPr>
          <w:rFonts w:cs="Arial" w:ascii="Arial" w:hAnsi="Arial"/>
          <w:sz w:val="24"/>
          <w:szCs w:val="24"/>
        </w:rPr>
        <w:t>A Comissão do Processo Seletivo não se responsabilizará por quaisquer cursos, textos, apostilas e outras publicações referentes ao processo seletivo.</w:t>
      </w:r>
    </w:p>
    <w:p>
      <w:pPr>
        <w:pStyle w:val="Normal"/>
        <w:spacing w:lineRule="auto" w:line="360"/>
        <w:jc w:val="both"/>
        <w:rPr>
          <w:rFonts w:ascii="Arial" w:hAnsi="Arial" w:cs="Arial"/>
          <w:sz w:val="24"/>
          <w:szCs w:val="24"/>
        </w:rPr>
      </w:pPr>
      <w:r>
        <w:rPr>
          <w:rFonts w:cs="Arial" w:ascii="Arial" w:hAnsi="Arial"/>
          <w:sz w:val="24"/>
          <w:szCs w:val="24"/>
        </w:rPr>
        <w:t>Após o encerramento do processo seletivo, os documentos serão enviados para o arquivo.</w:t>
      </w:r>
    </w:p>
    <w:p>
      <w:pPr>
        <w:pStyle w:val="Normal"/>
        <w:spacing w:lineRule="auto" w:line="360"/>
        <w:jc w:val="both"/>
        <w:rPr>
          <w:rFonts w:ascii="Arial" w:hAnsi="Arial" w:cs="Arial"/>
          <w:sz w:val="24"/>
          <w:szCs w:val="24"/>
        </w:rPr>
      </w:pPr>
      <w:r>
        <w:rPr>
          <w:rFonts w:cs="Arial" w:ascii="Arial" w:hAnsi="Arial"/>
          <w:sz w:val="24"/>
          <w:szCs w:val="24"/>
        </w:rPr>
        <w:t xml:space="preserve">O candidato obriga-se a manter atualizado seu endereço para correspondência, junto à </w:t>
      </w:r>
      <w:r>
        <w:rPr>
          <w:rFonts w:cs="Arial" w:ascii="Arial" w:hAnsi="Arial"/>
          <w:b/>
          <w:sz w:val="24"/>
          <w:szCs w:val="24"/>
        </w:rPr>
        <w:t>Defensoria Pública do Estado do Maranhão</w:t>
      </w:r>
      <w:r>
        <w:rPr>
          <w:rFonts w:cs="Arial" w:ascii="Arial" w:hAnsi="Arial"/>
          <w:sz w:val="24"/>
          <w:szCs w:val="24"/>
        </w:rPr>
        <w:t>, após o resultado final.</w:t>
      </w:r>
    </w:p>
    <w:p>
      <w:pPr>
        <w:pStyle w:val="Normal"/>
        <w:spacing w:lineRule="auto" w:line="360"/>
        <w:jc w:val="both"/>
        <w:rPr/>
      </w:pPr>
      <w:r>
        <w:rPr>
          <w:rFonts w:cs="Arial" w:ascii="Arial" w:hAnsi="Arial"/>
          <w:sz w:val="24"/>
          <w:szCs w:val="24"/>
        </w:rPr>
        <w:t>A validade do presente processo seletivo será de 1 (um) ano prorrogável, a critério da Defensoria Pública-Geral do Estado do Maranhão, por igual período.</w:t>
      </w:r>
    </w:p>
    <w:p>
      <w:pPr>
        <w:pStyle w:val="Normal"/>
        <w:spacing w:lineRule="auto" w:line="360"/>
        <w:jc w:val="both"/>
        <w:rPr/>
      </w:pPr>
      <w:r>
        <w:rPr>
          <w:rFonts w:cs="Arial" w:ascii="Arial" w:hAnsi="Arial"/>
          <w:sz w:val="24"/>
          <w:szCs w:val="24"/>
        </w:rPr>
        <w:t>Os casos omissos serão decididos pela Comissão do Processo Seletivo.</w:t>
      </w:r>
    </w:p>
    <w:p>
      <w:pPr>
        <w:pStyle w:val="Normal"/>
        <w:spacing w:lineRule="auto" w:line="360"/>
        <w:jc w:val="both"/>
        <w:rPr/>
      </w:pPr>
      <w:r>
        <w:rPr>
          <w:rFonts w:cs="Arial" w:ascii="Arial" w:hAnsi="Arial"/>
          <w:sz w:val="24"/>
          <w:szCs w:val="24"/>
        </w:rPr>
        <w:t>Publique-se e Cumpra-se.</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center"/>
        <w:rPr/>
      </w:pPr>
      <w:r>
        <w:rPr>
          <w:rFonts w:eastAsia="Calibri" w:cs="Arial" w:ascii="Arial" w:hAnsi="Arial"/>
          <w:color w:val="00000A"/>
          <w:kern w:val="0"/>
          <w:sz w:val="24"/>
          <w:szCs w:val="24"/>
          <w:lang w:val="pt-BR" w:eastAsia="en-US" w:bidi="ar-SA"/>
        </w:rPr>
        <w:t>Bacabal</w:t>
      </w:r>
      <w:r>
        <w:rPr>
          <w:rFonts w:cs="Arial" w:ascii="Arial" w:hAnsi="Arial"/>
          <w:sz w:val="24"/>
          <w:szCs w:val="24"/>
        </w:rPr>
        <w:t xml:space="preserve">, </w:t>
      </w:r>
      <w:r>
        <w:rPr>
          <w:rFonts w:eastAsia="Calibri" w:cs="Arial" w:ascii="Arial" w:hAnsi="Arial"/>
          <w:color w:val="00000A"/>
          <w:kern w:val="0"/>
          <w:sz w:val="24"/>
          <w:szCs w:val="24"/>
          <w:lang w:val="pt-BR" w:eastAsia="en-US" w:bidi="ar-SA"/>
        </w:rPr>
        <w:t>28 de abril de 2021.</w:t>
      </w:r>
    </w:p>
    <w:p>
      <w:pPr>
        <w:pStyle w:val="Normal"/>
        <w:spacing w:lineRule="auto" w:line="360"/>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r>
    </w:p>
    <w:p>
      <w:pPr>
        <w:pStyle w:val="Normal"/>
        <w:spacing w:lineRule="auto" w:line="360"/>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r>
    </w:p>
    <w:p>
      <w:pPr>
        <w:pStyle w:val="Normal"/>
        <w:spacing w:lineRule="auto" w:line="240" w:before="0" w:after="103"/>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t>MARCELO JORGE MARTINS</w:t>
      </w:r>
    </w:p>
    <w:p>
      <w:pPr>
        <w:pStyle w:val="Normal"/>
        <w:spacing w:lineRule="auto" w:line="240" w:before="0" w:after="103"/>
        <w:jc w:val="center"/>
        <w:rPr/>
      </w:pPr>
      <w:r>
        <w:rPr>
          <w:rFonts w:cs="Arial" w:ascii="Arial" w:hAnsi="Arial"/>
          <w:b/>
          <w:sz w:val="24"/>
          <w:szCs w:val="24"/>
        </w:rPr>
        <w:t>Defensor Público do Estado do Maranhão</w:t>
      </w:r>
    </w:p>
    <w:p>
      <w:pPr>
        <w:pStyle w:val="Normal"/>
        <w:spacing w:lineRule="auto" w:line="240" w:before="0" w:after="103"/>
        <w:jc w:val="center"/>
        <w:rPr>
          <w:rFonts w:ascii="Arial" w:hAnsi="Arial" w:cs="Arial"/>
          <w:b/>
          <w:b/>
          <w:sz w:val="24"/>
          <w:szCs w:val="24"/>
        </w:rPr>
      </w:pPr>
      <w:r>
        <w:rPr>
          <w:rFonts w:cs="Arial" w:ascii="Arial" w:hAnsi="Arial"/>
          <w:b/>
          <w:sz w:val="24"/>
          <w:szCs w:val="24"/>
        </w:rPr>
        <w:t>Presidente da Comissão</w:t>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tbl>
      <w:tblPr>
        <w:tblW w:w="8504"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252"/>
        <w:gridCol w:w="4251"/>
      </w:tblGrid>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ATIVIDADES</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DATA</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Publicação do Edital</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 xml:space="preserve">Até </w:t>
            </w:r>
            <w:r>
              <w:rPr>
                <w:rFonts w:eastAsia="Calibri" w:cs="Arial" w:ascii="Arial" w:hAnsi="Arial"/>
                <w:color w:val="000000"/>
                <w:kern w:val="0"/>
                <w:sz w:val="24"/>
                <w:szCs w:val="24"/>
                <w:lang w:val="pt-BR" w:eastAsia="en-US" w:bidi="ar-SA"/>
              </w:rPr>
              <w:t>28</w:t>
            </w:r>
            <w:r>
              <w:rPr>
                <w:rFonts w:cs="Arial" w:ascii="Arial" w:hAnsi="Arial"/>
                <w:color w:val="000000"/>
                <w:sz w:val="24"/>
                <w:szCs w:val="24"/>
              </w:rPr>
              <w:t>/04/2021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Recebimento de Inscrições</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30/04/2021 a 04/05/2021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b/>
                <w:b/>
                <w:bCs/>
                <w:sz w:val="24"/>
                <w:szCs w:val="24"/>
              </w:rPr>
            </w:pPr>
            <w:r>
              <w:rPr>
                <w:rFonts w:ascii="Arial" w:hAnsi="Arial"/>
                <w:b/>
                <w:bCs/>
                <w:sz w:val="24"/>
                <w:szCs w:val="24"/>
              </w:rPr>
              <w:t>Realização da prova discursiva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sz w:val="24"/>
                <w:szCs w:val="24"/>
              </w:rPr>
            </w:pPr>
            <w:r>
              <w:rPr>
                <w:rFonts w:ascii="Arial" w:hAnsi="Arial"/>
                <w:sz w:val="24"/>
                <w:szCs w:val="24"/>
              </w:rPr>
              <w:t>06/05/2021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pPr>
            <w:r>
              <w:rPr>
                <w:rFonts w:cs="Arial" w:ascii="Arial" w:hAnsi="Arial"/>
                <w:b/>
                <w:bCs/>
                <w:color w:val="000000"/>
                <w:sz w:val="24"/>
                <w:szCs w:val="24"/>
              </w:rPr>
              <w:t>Divulgação do resultado da prova discursiva e convocação de candidatos selecionados para entrevista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r>
          </w:p>
          <w:p>
            <w:pPr>
              <w:pStyle w:val="Contedodatabela"/>
              <w:widowControl w:val="false"/>
              <w:spacing w:before="0" w:after="160"/>
              <w:rPr/>
            </w:pPr>
            <w:r>
              <w:rPr>
                <w:rFonts w:cs="Arial" w:ascii="Arial" w:hAnsi="Arial"/>
                <w:color w:val="000000"/>
                <w:sz w:val="24"/>
                <w:szCs w:val="24"/>
              </w:rPr>
              <w:t>10/05/2021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Entrevista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11/05/2021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Divulgação do Resultado do Processo Seletivo</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12/05/2021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Homologação do Processo Seletivo e Convocação do Candidato</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A definir pela Administração Superior</w:t>
            </w:r>
          </w:p>
        </w:tc>
      </w:tr>
    </w:tbl>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Ttulo1"/>
        <w:spacing w:lineRule="auto" w:line="590" w:before="205" w:after="0"/>
        <w:ind w:left="0" w:right="2032" w:hanging="0"/>
        <w:jc w:val="center"/>
        <w:rPr>
          <w:rFonts w:ascii="Arial" w:hAnsi="Arial"/>
          <w:color w:val="000009"/>
          <w:sz w:val="24"/>
          <w:szCs w:val="24"/>
        </w:rPr>
      </w:pPr>
      <w:r>
        <w:rPr>
          <w:rFonts w:ascii="Arial" w:hAnsi="Arial"/>
          <w:color w:val="000009"/>
          <w:sz w:val="24"/>
          <w:szCs w:val="24"/>
        </w:rPr>
      </w:r>
    </w:p>
    <w:p>
      <w:pPr>
        <w:pStyle w:val="Ttulo1"/>
        <w:spacing w:lineRule="auto" w:line="590" w:before="205" w:after="0"/>
        <w:ind w:left="0" w:right="2032" w:hanging="0"/>
        <w:jc w:val="center"/>
        <w:rPr>
          <w:rFonts w:ascii="Arial" w:hAnsi="Arial"/>
          <w:color w:val="000009"/>
          <w:sz w:val="24"/>
          <w:szCs w:val="24"/>
        </w:rPr>
      </w:pPr>
      <w:r>
        <w:rPr>
          <w:rFonts w:ascii="Arial" w:hAnsi="Arial"/>
          <w:color w:val="000009"/>
          <w:sz w:val="24"/>
          <w:szCs w:val="24"/>
        </w:rPr>
      </w:r>
    </w:p>
    <w:p>
      <w:pPr>
        <w:pStyle w:val="Ttulo1"/>
        <w:spacing w:lineRule="auto" w:line="240" w:before="205" w:after="0"/>
        <w:ind w:left="0" w:right="2032" w:hanging="0"/>
        <w:jc w:val="center"/>
        <w:rPr/>
      </w:pPr>
      <w:r>
        <w:rPr>
          <w:rFonts w:ascii="Arial" w:hAnsi="Arial"/>
          <w:color w:val="000009"/>
          <w:sz w:val="24"/>
          <w:szCs w:val="24"/>
        </w:rPr>
        <w:t xml:space="preserve">                             </w:t>
      </w:r>
      <w:r>
        <w:rPr>
          <w:rFonts w:ascii="Arial" w:hAnsi="Arial"/>
          <w:color w:val="000009"/>
          <w:sz w:val="24"/>
          <w:szCs w:val="24"/>
        </w:rPr>
        <w:t xml:space="preserve">ANEXO I </w:t>
      </w:r>
    </w:p>
    <w:p>
      <w:pPr>
        <w:pStyle w:val="Ttulo1"/>
        <w:spacing w:lineRule="auto" w:line="240" w:before="205" w:after="0"/>
        <w:ind w:left="0" w:right="2032" w:hanging="0"/>
        <w:jc w:val="center"/>
        <w:rPr>
          <w:rFonts w:ascii="Arial" w:hAnsi="Arial"/>
        </w:rPr>
      </w:pPr>
      <w:r>
        <w:rPr>
          <w:rFonts w:ascii="Arial" w:hAnsi="Arial"/>
          <w:color w:val="000009"/>
          <w:sz w:val="24"/>
          <w:szCs w:val="24"/>
        </w:rPr>
        <w:tab/>
        <w:tab/>
        <w:t xml:space="preserve">  CONTEÚDO PROGRAMÁTICO </w:t>
      </w:r>
    </w:p>
    <w:p>
      <w:pPr>
        <w:pStyle w:val="Ttulo1"/>
        <w:spacing w:lineRule="auto" w:line="360" w:before="120" w:after="120"/>
        <w:ind w:left="140" w:right="0" w:hanging="0"/>
        <w:rPr>
          <w:rFonts w:cs="Caladea;Cambria"/>
          <w:color w:val="000009"/>
          <w:sz w:val="24"/>
          <w:szCs w:val="24"/>
        </w:rPr>
      </w:pPr>
      <w:r>
        <w:rPr>
          <w:rFonts w:cs="Caladea;Cambria"/>
          <w:color w:val="000009"/>
          <w:sz w:val="24"/>
          <w:szCs w:val="24"/>
        </w:rPr>
      </w:r>
    </w:p>
    <w:p>
      <w:pPr>
        <w:pStyle w:val="Ttulo1"/>
        <w:spacing w:lineRule="auto" w:line="360" w:before="120" w:after="120"/>
        <w:ind w:left="140" w:right="0" w:hanging="0"/>
        <w:jc w:val="left"/>
        <w:rPr>
          <w:rFonts w:ascii="Arial" w:hAnsi="Arial"/>
        </w:rPr>
      </w:pPr>
      <w:r>
        <w:rPr>
          <w:rFonts w:cs="Caladea;Cambria" w:ascii="Arial" w:hAnsi="Arial"/>
          <w:sz w:val="24"/>
          <w:szCs w:val="24"/>
        </w:rPr>
        <w:t>DIREITO CIVIL</w:t>
      </w:r>
    </w:p>
    <w:p>
      <w:pPr>
        <w:pStyle w:val="ListParagraph"/>
        <w:numPr>
          <w:ilvl w:val="0"/>
          <w:numId w:val="5"/>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Parte geral ou Teoria Geral do Direito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 xml:space="preserve">Civil. </w:t>
      </w:r>
    </w:p>
    <w:p>
      <w:pPr>
        <w:pStyle w:val="ListParagraph"/>
        <w:numPr>
          <w:ilvl w:val="0"/>
          <w:numId w:val="0"/>
        </w:numPr>
        <w:tabs>
          <w:tab w:val="clear" w:pos="708"/>
          <w:tab w:val="left" w:pos="491" w:leader="none"/>
        </w:tabs>
        <w:spacing w:lineRule="auto" w:line="360" w:before="120" w:after="120"/>
        <w:ind w:left="712" w:right="0" w:hanging="0"/>
        <w:contextualSpacing/>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1"/>
          <w:sz w:val="24"/>
          <w:szCs w:val="24"/>
        </w:rPr>
        <w:t xml:space="preserve"> </w:t>
      </w:r>
      <w:r>
        <w:rPr>
          <w:rFonts w:cs="Caladea;Cambria" w:ascii="Arial" w:hAnsi="Arial"/>
          <w:b w:val="false"/>
          <w:bCs w:val="false"/>
          <w:sz w:val="24"/>
          <w:szCs w:val="24"/>
        </w:rPr>
        <w:t>obrigações.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responsabilidade civil.</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coisas.</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de</w:t>
      </w:r>
      <w:r>
        <w:rPr>
          <w:rFonts w:cs="Caladea;Cambria" w:ascii="Arial" w:hAnsi="Arial"/>
          <w:b w:val="false"/>
          <w:bCs w:val="false"/>
          <w:spacing w:val="-1"/>
          <w:sz w:val="24"/>
          <w:szCs w:val="24"/>
        </w:rPr>
        <w:t xml:space="preserve"> </w:t>
      </w:r>
      <w:r>
        <w:rPr>
          <w:rFonts w:cs="Caladea;Cambria" w:ascii="Arial" w:hAnsi="Arial"/>
          <w:b w:val="false"/>
          <w:bCs w:val="false"/>
          <w:sz w:val="24"/>
          <w:szCs w:val="24"/>
        </w:rPr>
        <w:t>família.</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sucessões.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Diplomas legais, súmulas e jurisprudência correlata.</w:t>
      </w:r>
    </w:p>
    <w:p>
      <w:pPr>
        <w:pStyle w:val="Ttulo1"/>
        <w:spacing w:lineRule="auto" w:line="360" w:before="120" w:after="120"/>
        <w:ind w:left="140" w:right="0" w:hanging="0"/>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DA CRIANÇA E DO ADOLESCENTE</w:t>
      </w:r>
    </w:p>
    <w:p>
      <w:pPr>
        <w:pStyle w:val="Corpodotexto"/>
        <w:spacing w:lineRule="auto" w:line="360" w:before="120" w:after="120"/>
        <w:ind w:left="222" w:right="0" w:hanging="0"/>
        <w:jc w:val="both"/>
        <w:rPr>
          <w:rFonts w:ascii="Arial" w:hAnsi="Arial" w:cs="Caladea;Cambria"/>
          <w:sz w:val="24"/>
          <w:szCs w:val="24"/>
        </w:rPr>
      </w:pPr>
      <w:r>
        <w:rPr>
          <w:rFonts w:cs="Caladea;Cambria" w:ascii="Arial" w:hAnsi="Arial"/>
          <w:sz w:val="24"/>
          <w:szCs w:val="24"/>
        </w:rPr>
        <w:t>Lei 8069/90, súmulas e jurisprudência correlata.</w:t>
      </w:r>
    </w:p>
    <w:p>
      <w:pPr>
        <w:pStyle w:val="Corpodotexto"/>
        <w:spacing w:lineRule="auto" w:line="360" w:before="120" w:after="120"/>
        <w:jc w:val="both"/>
        <w:rPr>
          <w:rFonts w:ascii="Arial" w:hAnsi="Arial" w:cs="Caladea;Cambria"/>
          <w:sz w:val="24"/>
          <w:szCs w:val="24"/>
        </w:rPr>
      </w:pPr>
      <w:r>
        <w:rPr>
          <w:rFonts w:cs="Caladea;Cambria" w:ascii="Arial" w:hAnsi="Arial"/>
          <w:sz w:val="24"/>
          <w:szCs w:val="24"/>
        </w:rPr>
      </w:r>
    </w:p>
    <w:p>
      <w:pPr>
        <w:pStyle w:val="Ttulo1"/>
        <w:spacing w:lineRule="auto" w:line="360" w:before="120" w:after="120"/>
        <w:jc w:val="left"/>
        <w:rPr>
          <w:rFonts w:ascii="Arial" w:hAnsi="Arial" w:cs="Caladea;Cambria"/>
          <w:sz w:val="24"/>
          <w:szCs w:val="24"/>
        </w:rPr>
      </w:pPr>
      <w:r>
        <w:rPr>
          <w:rFonts w:cs="Caladea;Cambria" w:ascii="Arial" w:hAnsi="Arial"/>
          <w:sz w:val="24"/>
          <w:szCs w:val="24"/>
        </w:rPr>
        <w:t>DIREITO PROCESSUAL CIVIL</w:t>
      </w:r>
    </w:p>
    <w:p>
      <w:pPr>
        <w:pStyle w:val="ListParagraph"/>
        <w:numPr>
          <w:ilvl w:val="0"/>
          <w:numId w:val="6"/>
        </w:numPr>
        <w:tabs>
          <w:tab w:val="clear" w:pos="708"/>
          <w:tab w:val="left" w:pos="491" w:leader="none"/>
        </w:tabs>
        <w:spacing w:lineRule="auto" w:line="360" w:before="120" w:after="120"/>
        <w:ind w:left="279" w:right="0" w:hanging="0"/>
        <w:contextualSpacing/>
        <w:rPr>
          <w:rFonts w:ascii="Arial" w:hAnsi="Arial"/>
        </w:rPr>
      </w:pPr>
      <w:r>
        <w:rPr>
          <w:rFonts w:cs="Caladea;Cambria" w:ascii="Arial" w:hAnsi="Arial"/>
          <w:b w:val="false"/>
          <w:bCs w:val="false"/>
          <w:sz w:val="24"/>
          <w:szCs w:val="24"/>
        </w:rPr>
        <w:t>Teoria geral do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processo.</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Processo de</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conhecimento.</w:t>
      </w:r>
    </w:p>
    <w:p>
      <w:pPr>
        <w:pStyle w:val="ListParagraph"/>
        <w:numPr>
          <w:ilvl w:val="0"/>
          <w:numId w:val="6"/>
        </w:numPr>
        <w:tabs>
          <w:tab w:val="clear" w:pos="708"/>
          <w:tab w:val="left" w:pos="491" w:leader="none"/>
        </w:tabs>
        <w:spacing w:lineRule="auto" w:line="360" w:before="120" w:after="120"/>
        <w:ind w:left="284" w:right="111" w:hanging="0"/>
        <w:contextualSpacing/>
        <w:rPr>
          <w:rFonts w:ascii="Arial" w:hAnsi="Arial" w:cs="Caladea;Cambria"/>
          <w:b w:val="false"/>
          <w:b w:val="false"/>
          <w:bCs w:val="false"/>
          <w:sz w:val="24"/>
          <w:szCs w:val="24"/>
        </w:rPr>
      </w:pPr>
      <w:r>
        <w:rPr>
          <w:rFonts w:cs="Caladea;Cambria" w:ascii="Arial" w:hAnsi="Arial"/>
          <w:b w:val="false"/>
          <w:bCs w:val="false"/>
          <w:sz w:val="24"/>
          <w:szCs w:val="24"/>
        </w:rPr>
        <w:t xml:space="preserve">Dos processos nos Tribunais e os meios de impugnação das decisões judiciais. </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Processo de execução e cumprimento de</w:t>
      </w:r>
      <w:r>
        <w:rPr>
          <w:rFonts w:cs="Caladea;Cambria" w:ascii="Arial" w:hAnsi="Arial"/>
          <w:b w:val="false"/>
          <w:bCs w:val="false"/>
          <w:spacing w:val="-5"/>
          <w:sz w:val="24"/>
          <w:szCs w:val="24"/>
        </w:rPr>
        <w:t xml:space="preserve"> </w:t>
      </w:r>
      <w:r>
        <w:rPr>
          <w:rFonts w:cs="Caladea;Cambria" w:ascii="Arial" w:hAnsi="Arial"/>
          <w:b w:val="false"/>
          <w:bCs w:val="false"/>
          <w:sz w:val="24"/>
          <w:szCs w:val="24"/>
        </w:rPr>
        <w:t>sentença.</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Procedimentos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especiais.</w:t>
      </w:r>
    </w:p>
    <w:p>
      <w:pPr>
        <w:pStyle w:val="ListParagraph"/>
        <w:numPr>
          <w:ilvl w:val="0"/>
          <w:numId w:val="6"/>
        </w:numPr>
        <w:tabs>
          <w:tab w:val="clear" w:pos="708"/>
          <w:tab w:val="left" w:pos="491" w:leader="none"/>
        </w:tabs>
        <w:spacing w:lineRule="auto" w:line="360" w:before="120" w:after="120"/>
        <w:ind w:left="284" w:right="0" w:hanging="0"/>
        <w:contextualSpacing/>
        <w:rPr>
          <w:rFonts w:ascii="Arial" w:hAnsi="Arial"/>
        </w:rPr>
      </w:pPr>
      <w:r>
        <w:rPr>
          <w:rFonts w:cs="Caladea;Cambria" w:ascii="Arial" w:hAnsi="Arial"/>
          <w:b w:val="false"/>
          <w:bCs w:val="false"/>
          <w:sz w:val="24"/>
          <w:szCs w:val="24"/>
        </w:rPr>
        <w:t>Processos coletivos: teoria geral e leis</w:t>
      </w:r>
      <w:r>
        <w:rPr>
          <w:rFonts w:cs="Caladea;Cambria" w:ascii="Arial" w:hAnsi="Arial"/>
          <w:b w:val="false"/>
          <w:bCs w:val="false"/>
          <w:spacing w:val="-5"/>
          <w:sz w:val="24"/>
          <w:szCs w:val="24"/>
        </w:rPr>
        <w:t xml:space="preserve"> </w:t>
      </w:r>
      <w:r>
        <w:rPr>
          <w:rFonts w:cs="Caladea;Cambria" w:ascii="Arial" w:hAnsi="Arial"/>
          <w:b w:val="false"/>
          <w:bCs w:val="false"/>
          <w:sz w:val="24"/>
          <w:szCs w:val="24"/>
        </w:rPr>
        <w:t>correlatas.</w:t>
      </w:r>
    </w:p>
    <w:p>
      <w:pPr>
        <w:pStyle w:val="ListParagraph"/>
        <w:numPr>
          <w:ilvl w:val="0"/>
          <w:numId w:val="6"/>
        </w:numPr>
        <w:tabs>
          <w:tab w:val="clear" w:pos="708"/>
          <w:tab w:val="left" w:pos="491" w:leader="none"/>
        </w:tabs>
        <w:spacing w:lineRule="auto" w:line="360" w:before="120" w:after="120"/>
        <w:ind w:left="284" w:right="0" w:hanging="0"/>
        <w:contextualSpacing/>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ind w:left="284" w:right="0" w:hanging="0"/>
        <w:jc w:val="both"/>
        <w:rPr>
          <w:rFonts w:ascii="Arial" w:hAnsi="Arial" w:cs="Caladea;Cambria"/>
          <w:b/>
          <w:b/>
          <w:sz w:val="24"/>
          <w:szCs w:val="24"/>
        </w:rPr>
      </w:pPr>
      <w:r>
        <w:rPr>
          <w:rFonts w:cs="Caladea;Cambria" w:ascii="Arial" w:hAnsi="Arial"/>
          <w:b/>
          <w:sz w:val="24"/>
          <w:szCs w:val="24"/>
        </w:rPr>
      </w:r>
    </w:p>
    <w:p>
      <w:pPr>
        <w:pStyle w:val="Normal"/>
        <w:spacing w:lineRule="auto" w:line="360" w:before="120" w:after="120"/>
        <w:ind w:left="222" w:right="0" w:hanging="0"/>
        <w:jc w:val="both"/>
        <w:rPr>
          <w:rFonts w:ascii="Arial" w:hAnsi="Arial" w:cs="Caladea;Cambria"/>
          <w:b/>
          <w:b/>
          <w:sz w:val="24"/>
          <w:szCs w:val="24"/>
        </w:rPr>
      </w:pPr>
      <w:r>
        <w:rPr>
          <w:rFonts w:cs="Caladea;Cambria" w:ascii="Arial" w:hAnsi="Arial"/>
          <w:b/>
          <w:sz w:val="24"/>
          <w:szCs w:val="24"/>
        </w:rPr>
        <w:t>DIREITO PENAL</w:t>
      </w:r>
    </w:p>
    <w:p>
      <w:pPr>
        <w:pStyle w:val="ListParagraph"/>
        <w:numPr>
          <w:ilvl w:val="0"/>
          <w:numId w:val="7"/>
        </w:numPr>
        <w:tabs>
          <w:tab w:val="clear" w:pos="708"/>
          <w:tab w:val="left" w:pos="508" w:leader="none"/>
        </w:tabs>
        <w:spacing w:lineRule="auto" w:line="360" w:before="120" w:after="120"/>
        <w:ind w:left="222" w:right="113" w:hanging="0"/>
        <w:contextualSpacing/>
        <w:rPr>
          <w:rFonts w:ascii="Arial" w:hAnsi="Arial"/>
        </w:rPr>
      </w:pPr>
      <w:r>
        <w:rPr>
          <w:rFonts w:cs="Caladea;Cambria" w:ascii="Arial" w:hAnsi="Arial"/>
          <w:sz w:val="24"/>
          <w:szCs w:val="24"/>
        </w:rPr>
        <w:t>Conceito e características do Direito Penal. Fontes do Direito Penal. Aplicação da lei penal. Lei penal no tempo. Lei excepcional ou temporária. Tempo do crime. Lugar do crime. Interpretação e integração da lei penal. Concurso aparente de normas.</w:t>
      </w:r>
      <w:r>
        <w:rPr>
          <w:rFonts w:cs="Caladea;Cambria" w:ascii="Arial" w:hAnsi="Arial"/>
          <w:spacing w:val="-28"/>
          <w:sz w:val="24"/>
          <w:szCs w:val="24"/>
        </w:rPr>
        <w:t xml:space="preserve"> </w:t>
      </w:r>
      <w:r>
        <w:rPr>
          <w:rFonts w:cs="Caladea;Cambria" w:ascii="Arial" w:hAnsi="Arial"/>
          <w:sz w:val="24"/>
          <w:szCs w:val="24"/>
        </w:rPr>
        <w:t>Analogia.</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Princípios constitucionais</w:t>
      </w:r>
      <w:r>
        <w:rPr>
          <w:rFonts w:cs="Caladea;Cambria" w:ascii="Arial" w:hAnsi="Arial"/>
          <w:spacing w:val="-4"/>
          <w:sz w:val="24"/>
          <w:szCs w:val="24"/>
        </w:rPr>
        <w:t xml:space="preserve"> </w:t>
      </w:r>
      <w:r>
        <w:rPr>
          <w:rFonts w:cs="Caladea;Cambria" w:ascii="Arial" w:hAnsi="Arial"/>
          <w:sz w:val="24"/>
          <w:szCs w:val="24"/>
        </w:rPr>
        <w:t>penais.</w:t>
      </w:r>
    </w:p>
    <w:p>
      <w:pPr>
        <w:pStyle w:val="ListParagraph"/>
        <w:numPr>
          <w:ilvl w:val="0"/>
          <w:numId w:val="7"/>
        </w:numPr>
        <w:tabs>
          <w:tab w:val="clear" w:pos="708"/>
          <w:tab w:val="left" w:pos="570" w:leader="none"/>
        </w:tabs>
        <w:spacing w:lineRule="auto" w:line="360" w:before="120" w:after="120"/>
        <w:ind w:left="222" w:right="120" w:hanging="0"/>
        <w:contextualSpacing/>
        <w:rPr>
          <w:rFonts w:ascii="Arial" w:hAnsi="Arial"/>
        </w:rPr>
      </w:pPr>
      <w:r>
        <w:rPr>
          <w:rFonts w:cs="Caladea;Cambria" w:ascii="Arial" w:hAnsi="Arial"/>
          <w:sz w:val="24"/>
          <w:szCs w:val="24"/>
        </w:rPr>
        <w:t>Tipicidade. Tipicidade formal e tipicidade material. Elementares. Consumação e tentativa. Desistência voluntária e arrependimento</w:t>
      </w:r>
      <w:r>
        <w:rPr>
          <w:rFonts w:cs="Caladea;Cambria" w:ascii="Arial" w:hAnsi="Arial"/>
          <w:spacing w:val="-8"/>
          <w:sz w:val="24"/>
          <w:szCs w:val="24"/>
        </w:rPr>
        <w:t xml:space="preserve"> </w:t>
      </w:r>
      <w:r>
        <w:rPr>
          <w:rFonts w:cs="Caladea;Cambria" w:ascii="Arial" w:hAnsi="Arial"/>
          <w:sz w:val="24"/>
          <w:szCs w:val="24"/>
        </w:rPr>
        <w:t>eficaz.</w:t>
      </w:r>
    </w:p>
    <w:p>
      <w:pPr>
        <w:pStyle w:val="ListParagraph"/>
        <w:numPr>
          <w:ilvl w:val="0"/>
          <w:numId w:val="7"/>
        </w:numPr>
        <w:tabs>
          <w:tab w:val="clear" w:pos="708"/>
          <w:tab w:val="left" w:pos="489" w:leader="none"/>
        </w:tabs>
        <w:spacing w:lineRule="auto" w:line="360" w:before="120" w:after="120"/>
        <w:ind w:left="488" w:right="0" w:hanging="266"/>
        <w:contextualSpacing/>
        <w:rPr>
          <w:rFonts w:ascii="Arial" w:hAnsi="Arial"/>
        </w:rPr>
      </w:pPr>
      <w:r>
        <w:rPr>
          <w:rFonts w:cs="Caladea;Cambria" w:ascii="Arial" w:hAnsi="Arial"/>
          <w:sz w:val="24"/>
          <w:szCs w:val="24"/>
        </w:rPr>
        <w:t>Teoria do erro jurídico</w:t>
      </w:r>
      <w:r>
        <w:rPr>
          <w:rFonts w:cs="Caladea;Cambria" w:ascii="Arial" w:hAnsi="Arial"/>
          <w:spacing w:val="-5"/>
          <w:sz w:val="24"/>
          <w:szCs w:val="24"/>
        </w:rPr>
        <w:t xml:space="preserve"> </w:t>
      </w:r>
      <w:r>
        <w:rPr>
          <w:rFonts w:cs="Caladea;Cambria" w:ascii="Arial" w:hAnsi="Arial"/>
          <w:sz w:val="24"/>
          <w:szCs w:val="24"/>
        </w:rPr>
        <w:t>penal.</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Ilicitude. Causas excludentes da</w:t>
      </w:r>
      <w:r>
        <w:rPr>
          <w:rFonts w:cs="Caladea;Cambria" w:ascii="Arial" w:hAnsi="Arial"/>
          <w:spacing w:val="-3"/>
          <w:sz w:val="24"/>
          <w:szCs w:val="24"/>
        </w:rPr>
        <w:t xml:space="preserve"> </w:t>
      </w:r>
      <w:r>
        <w:rPr>
          <w:rFonts w:cs="Caladea;Cambria" w:ascii="Arial" w:hAnsi="Arial"/>
          <w:sz w:val="24"/>
          <w:szCs w:val="24"/>
        </w:rPr>
        <w:t>ilicitude.</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Culpabilidade. Causas excludentes da</w:t>
      </w:r>
      <w:r>
        <w:rPr>
          <w:rFonts w:cs="Caladea;Cambria" w:ascii="Arial" w:hAnsi="Arial"/>
          <w:spacing w:val="-2"/>
          <w:sz w:val="24"/>
          <w:szCs w:val="24"/>
        </w:rPr>
        <w:t xml:space="preserve"> </w:t>
      </w:r>
      <w:r>
        <w:rPr>
          <w:rFonts w:cs="Caladea;Cambria" w:ascii="Arial" w:hAnsi="Arial"/>
          <w:sz w:val="24"/>
          <w:szCs w:val="24"/>
        </w:rPr>
        <w:t>culpabilidade.</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Arrependimento</w:t>
      </w:r>
      <w:r>
        <w:rPr>
          <w:rFonts w:cs="Caladea;Cambria" w:ascii="Arial" w:hAnsi="Arial"/>
          <w:spacing w:val="-2"/>
          <w:sz w:val="24"/>
          <w:szCs w:val="24"/>
        </w:rPr>
        <w:t xml:space="preserve"> </w:t>
      </w:r>
      <w:r>
        <w:rPr>
          <w:rFonts w:cs="Caladea;Cambria" w:ascii="Arial" w:hAnsi="Arial"/>
          <w:sz w:val="24"/>
          <w:szCs w:val="24"/>
        </w:rPr>
        <w:t>posterior.</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Condições objetivas de punibilidade e escusas</w:t>
      </w:r>
      <w:r>
        <w:rPr>
          <w:rFonts w:cs="Caladea;Cambria" w:ascii="Arial" w:hAnsi="Arial"/>
          <w:spacing w:val="-5"/>
          <w:sz w:val="24"/>
          <w:szCs w:val="24"/>
        </w:rPr>
        <w:t xml:space="preserve"> </w:t>
      </w:r>
      <w:r>
        <w:rPr>
          <w:rFonts w:cs="Caladea;Cambria" w:ascii="Arial" w:hAnsi="Arial"/>
          <w:sz w:val="24"/>
          <w:szCs w:val="24"/>
        </w:rPr>
        <w:t>absolutórias.</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Concurso de</w:t>
      </w:r>
      <w:r>
        <w:rPr>
          <w:rFonts w:cs="Caladea;Cambria" w:ascii="Arial" w:hAnsi="Arial"/>
          <w:spacing w:val="-1"/>
          <w:sz w:val="24"/>
          <w:szCs w:val="24"/>
        </w:rPr>
        <w:t xml:space="preserve"> </w:t>
      </w:r>
      <w:r>
        <w:rPr>
          <w:rFonts w:cs="Caladea;Cambria" w:ascii="Arial" w:hAnsi="Arial"/>
          <w:sz w:val="24"/>
          <w:szCs w:val="24"/>
        </w:rPr>
        <w:t>pessoas.</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Concurso de</w:t>
      </w:r>
      <w:r>
        <w:rPr>
          <w:rFonts w:cs="Caladea;Cambria" w:ascii="Arial" w:hAnsi="Arial"/>
          <w:spacing w:val="-3"/>
          <w:sz w:val="24"/>
          <w:szCs w:val="24"/>
        </w:rPr>
        <w:t xml:space="preserve"> </w:t>
      </w:r>
      <w:r>
        <w:rPr>
          <w:rFonts w:cs="Caladea;Cambria" w:ascii="Arial" w:hAnsi="Arial"/>
          <w:sz w:val="24"/>
          <w:szCs w:val="24"/>
        </w:rPr>
        <w:t>crimes.</w:t>
      </w:r>
    </w:p>
    <w:p>
      <w:pPr>
        <w:pStyle w:val="ListParagraph"/>
        <w:numPr>
          <w:ilvl w:val="0"/>
          <w:numId w:val="7"/>
        </w:numPr>
        <w:tabs>
          <w:tab w:val="clear" w:pos="708"/>
          <w:tab w:val="left" w:pos="695" w:leader="none"/>
        </w:tabs>
        <w:spacing w:lineRule="auto" w:line="360" w:before="120" w:after="120"/>
        <w:ind w:left="222" w:right="109" w:hanging="0"/>
        <w:contextualSpacing/>
        <w:rPr>
          <w:rFonts w:ascii="Arial" w:hAnsi="Arial"/>
        </w:rPr>
      </w:pPr>
      <w:r>
        <w:rPr>
          <w:rFonts w:cs="Caladea;Cambria" w:ascii="Arial" w:hAnsi="Arial"/>
          <w:sz w:val="24"/>
          <w:szCs w:val="24"/>
        </w:rPr>
        <w:t>Penas privativas de liberdade, restritivas de direitos e de multa. Cominação e aplicação da pena. Efeitos da condenação. Suspensão condicional da pena ("</w:t>
      </w:r>
      <w:r>
        <w:rPr>
          <w:rFonts w:cs="Caladea;Cambria" w:ascii="Arial" w:hAnsi="Arial"/>
          <w:i/>
          <w:sz w:val="24"/>
          <w:szCs w:val="24"/>
        </w:rPr>
        <w:t>sursis</w:t>
      </w:r>
      <w:r>
        <w:rPr>
          <w:rFonts w:cs="Caladea;Cambria" w:ascii="Arial" w:hAnsi="Arial"/>
          <w:sz w:val="24"/>
          <w:szCs w:val="24"/>
        </w:rPr>
        <w:t>"). Medidas de</w:t>
      </w:r>
      <w:r>
        <w:rPr>
          <w:rFonts w:cs="Caladea;Cambria" w:ascii="Arial" w:hAnsi="Arial"/>
          <w:spacing w:val="-3"/>
          <w:sz w:val="24"/>
          <w:szCs w:val="24"/>
        </w:rPr>
        <w:t xml:space="preserve"> </w:t>
      </w:r>
      <w:r>
        <w:rPr>
          <w:rFonts w:cs="Caladea;Cambria" w:ascii="Arial" w:hAnsi="Arial"/>
          <w:sz w:val="24"/>
          <w:szCs w:val="24"/>
        </w:rPr>
        <w:t>segurança.</w:t>
      </w:r>
    </w:p>
    <w:p>
      <w:pPr>
        <w:pStyle w:val="ListParagraph"/>
        <w:numPr>
          <w:ilvl w:val="0"/>
          <w:numId w:val="7"/>
        </w:numPr>
        <w:tabs>
          <w:tab w:val="clear" w:pos="708"/>
          <w:tab w:val="left" w:pos="647" w:leader="none"/>
        </w:tabs>
        <w:spacing w:lineRule="auto" w:line="360" w:before="120" w:after="120"/>
        <w:ind w:left="222" w:right="120" w:hanging="0"/>
        <w:contextualSpacing/>
        <w:rPr>
          <w:rFonts w:ascii="Arial" w:hAnsi="Arial" w:cs="Caladea;Cambria"/>
          <w:sz w:val="24"/>
          <w:szCs w:val="24"/>
        </w:rPr>
      </w:pPr>
      <w:r>
        <w:rPr>
          <w:rFonts w:cs="Caladea;Cambria" w:ascii="Arial" w:hAnsi="Arial"/>
          <w:sz w:val="24"/>
          <w:szCs w:val="24"/>
        </w:rPr>
        <w:t>Regimes de cumprimento de pena. Progressão e regressão de regime. Livramento condicional.</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Extinção da punibilidade. Prescrição</w:t>
      </w:r>
      <w:r>
        <w:rPr>
          <w:rFonts w:cs="Caladea;Cambria" w:ascii="Arial" w:hAnsi="Arial"/>
          <w:spacing w:val="-3"/>
          <w:sz w:val="24"/>
          <w:szCs w:val="24"/>
        </w:rPr>
        <w:t xml:space="preserve"> </w:t>
      </w:r>
      <w:r>
        <w:rPr>
          <w:rFonts w:cs="Caladea;Cambria" w:ascii="Arial" w:hAnsi="Arial"/>
          <w:sz w:val="24"/>
          <w:szCs w:val="24"/>
        </w:rPr>
        <w:t>penal.</w:t>
      </w:r>
    </w:p>
    <w:p>
      <w:pPr>
        <w:pStyle w:val="ListParagraph"/>
        <w:numPr>
          <w:ilvl w:val="0"/>
          <w:numId w:val="7"/>
        </w:numPr>
        <w:tabs>
          <w:tab w:val="clear" w:pos="708"/>
          <w:tab w:val="left" w:pos="663" w:leader="none"/>
          <w:tab w:val="left" w:pos="6761" w:leader="none"/>
        </w:tabs>
        <w:spacing w:lineRule="auto" w:line="360" w:before="120" w:after="120"/>
        <w:ind w:left="222" w:right="121" w:hanging="0"/>
        <w:contextualSpacing/>
        <w:rPr>
          <w:rFonts w:ascii="Arial" w:hAnsi="Arial"/>
        </w:rPr>
      </w:pPr>
      <w:r>
        <w:rPr>
          <w:rFonts w:cs="Caladea;Cambria" w:ascii="Arial" w:hAnsi="Arial"/>
          <w:sz w:val="24"/>
          <w:szCs w:val="24"/>
        </w:rPr>
        <w:t>Crimes</w:t>
      </w:r>
      <w:r>
        <w:rPr>
          <w:rFonts w:cs="Caladea;Cambria" w:ascii="Arial" w:hAnsi="Arial"/>
          <w:spacing w:val="37"/>
          <w:sz w:val="24"/>
          <w:szCs w:val="24"/>
        </w:rPr>
        <w:t xml:space="preserve"> </w:t>
      </w:r>
      <w:r>
        <w:rPr>
          <w:rFonts w:cs="Caladea;Cambria" w:ascii="Arial" w:hAnsi="Arial"/>
          <w:sz w:val="24"/>
          <w:szCs w:val="24"/>
        </w:rPr>
        <w:t>contra</w:t>
      </w:r>
      <w:r>
        <w:rPr>
          <w:rFonts w:cs="Caladea;Cambria" w:ascii="Arial" w:hAnsi="Arial"/>
          <w:spacing w:val="37"/>
          <w:sz w:val="24"/>
          <w:szCs w:val="24"/>
        </w:rPr>
        <w:t xml:space="preserve"> </w:t>
      </w:r>
      <w:r>
        <w:rPr>
          <w:rFonts w:cs="Caladea;Cambria" w:ascii="Arial" w:hAnsi="Arial"/>
          <w:sz w:val="24"/>
          <w:szCs w:val="24"/>
        </w:rPr>
        <w:t>a</w:t>
      </w:r>
      <w:r>
        <w:rPr>
          <w:rFonts w:cs="Caladea;Cambria" w:ascii="Arial" w:hAnsi="Arial"/>
          <w:spacing w:val="37"/>
          <w:sz w:val="24"/>
          <w:szCs w:val="24"/>
        </w:rPr>
        <w:t xml:space="preserve"> </w:t>
      </w:r>
      <w:r>
        <w:rPr>
          <w:rFonts w:cs="Caladea;Cambria" w:ascii="Arial" w:hAnsi="Arial"/>
          <w:sz w:val="24"/>
          <w:szCs w:val="24"/>
        </w:rPr>
        <w:t>pessoa.</w:t>
      </w:r>
      <w:r>
        <w:rPr>
          <w:rFonts w:cs="Caladea;Cambria" w:ascii="Arial" w:hAnsi="Arial"/>
          <w:spacing w:val="37"/>
          <w:sz w:val="24"/>
          <w:szCs w:val="24"/>
        </w:rPr>
        <w:t xml:space="preserve"> </w:t>
      </w:r>
      <w:r>
        <w:rPr>
          <w:rFonts w:cs="Caladea;Cambria" w:ascii="Arial" w:hAnsi="Arial"/>
          <w:sz w:val="24"/>
          <w:szCs w:val="24"/>
        </w:rPr>
        <w:t>Crimes</w:t>
      </w:r>
      <w:r>
        <w:rPr>
          <w:rFonts w:cs="Caladea;Cambria" w:ascii="Arial" w:hAnsi="Arial"/>
          <w:spacing w:val="37"/>
          <w:sz w:val="24"/>
          <w:szCs w:val="24"/>
        </w:rPr>
        <w:t xml:space="preserve"> </w:t>
      </w:r>
      <w:r>
        <w:rPr>
          <w:rFonts w:cs="Caladea;Cambria" w:ascii="Arial" w:hAnsi="Arial"/>
          <w:sz w:val="24"/>
          <w:szCs w:val="24"/>
        </w:rPr>
        <w:t>contra</w:t>
      </w:r>
      <w:r>
        <w:rPr>
          <w:rFonts w:cs="Caladea;Cambria" w:ascii="Arial" w:hAnsi="Arial"/>
          <w:spacing w:val="35"/>
          <w:sz w:val="24"/>
          <w:szCs w:val="24"/>
        </w:rPr>
        <w:t xml:space="preserve"> </w:t>
      </w:r>
      <w:r>
        <w:rPr>
          <w:rFonts w:cs="Caladea;Cambria" w:ascii="Arial" w:hAnsi="Arial"/>
          <w:sz w:val="24"/>
          <w:szCs w:val="24"/>
        </w:rPr>
        <w:t>o</w:t>
      </w:r>
      <w:r>
        <w:rPr>
          <w:rFonts w:cs="Caladea;Cambria" w:ascii="Arial" w:hAnsi="Arial"/>
          <w:spacing w:val="37"/>
          <w:sz w:val="24"/>
          <w:szCs w:val="24"/>
        </w:rPr>
        <w:t xml:space="preserve"> </w:t>
      </w:r>
      <w:r>
        <w:rPr>
          <w:rFonts w:cs="Caladea;Cambria" w:ascii="Arial" w:hAnsi="Arial"/>
          <w:sz w:val="24"/>
          <w:szCs w:val="24"/>
        </w:rPr>
        <w:t>patrimônio. Crimes contra a dignidade sexual. Crimes contra a Administração</w:t>
      </w:r>
      <w:r>
        <w:rPr>
          <w:rFonts w:cs="Caladea;Cambria" w:ascii="Arial" w:hAnsi="Arial"/>
          <w:spacing w:val="-3"/>
          <w:sz w:val="24"/>
          <w:szCs w:val="24"/>
        </w:rPr>
        <w:t xml:space="preserve"> </w:t>
      </w:r>
      <w:r>
        <w:rPr>
          <w:rFonts w:cs="Caladea;Cambria" w:ascii="Arial" w:hAnsi="Arial"/>
          <w:sz w:val="24"/>
          <w:szCs w:val="24"/>
        </w:rPr>
        <w:t>Pública.</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Código Brasileiro de Trânsito (Lei n.º</w:t>
      </w:r>
      <w:r>
        <w:rPr>
          <w:rFonts w:cs="Caladea;Cambria" w:ascii="Arial" w:hAnsi="Arial"/>
          <w:spacing w:val="-11"/>
          <w:sz w:val="24"/>
          <w:szCs w:val="24"/>
        </w:rPr>
        <w:t xml:space="preserve"> </w:t>
      </w:r>
      <w:r>
        <w:rPr>
          <w:rFonts w:cs="Caladea;Cambria" w:ascii="Arial" w:hAnsi="Arial"/>
          <w:sz w:val="24"/>
          <w:szCs w:val="24"/>
        </w:rPr>
        <w:t>9.503/97).</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hediondos (Lei nº</w:t>
      </w:r>
      <w:r>
        <w:rPr>
          <w:rFonts w:cs="Caladea;Cambria" w:ascii="Arial" w:hAnsi="Arial"/>
          <w:spacing w:val="-5"/>
          <w:sz w:val="24"/>
          <w:szCs w:val="24"/>
        </w:rPr>
        <w:t xml:space="preserve"> </w:t>
      </w:r>
      <w:r>
        <w:rPr>
          <w:rFonts w:cs="Caladea;Cambria" w:ascii="Arial" w:hAnsi="Arial"/>
          <w:sz w:val="24"/>
          <w:szCs w:val="24"/>
        </w:rPr>
        <w:t>8.072/90).</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na Lei nº</w:t>
      </w:r>
      <w:r>
        <w:rPr>
          <w:rFonts w:cs="Caladea;Cambria" w:ascii="Arial" w:hAnsi="Arial"/>
          <w:spacing w:val="-2"/>
          <w:sz w:val="24"/>
          <w:szCs w:val="24"/>
        </w:rPr>
        <w:t xml:space="preserve"> </w:t>
      </w:r>
      <w:r>
        <w:rPr>
          <w:rFonts w:cs="Caladea;Cambria" w:ascii="Arial" w:hAnsi="Arial"/>
          <w:sz w:val="24"/>
          <w:szCs w:val="24"/>
        </w:rPr>
        <w:t>11.340/06.</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Estatuto da Criança e do Adolescente (Lei nº</w:t>
      </w:r>
      <w:r>
        <w:rPr>
          <w:rFonts w:cs="Caladea;Cambria" w:ascii="Arial" w:hAnsi="Arial"/>
          <w:spacing w:val="-17"/>
          <w:sz w:val="24"/>
          <w:szCs w:val="24"/>
        </w:rPr>
        <w:t xml:space="preserve"> </w:t>
      </w:r>
      <w:r>
        <w:rPr>
          <w:rFonts w:cs="Caladea;Cambria" w:ascii="Arial" w:hAnsi="Arial"/>
          <w:sz w:val="24"/>
          <w:szCs w:val="24"/>
        </w:rPr>
        <w:t>8.069/90).</w:t>
      </w:r>
    </w:p>
    <w:p>
      <w:pPr>
        <w:pStyle w:val="ListParagraph"/>
        <w:numPr>
          <w:ilvl w:val="0"/>
          <w:numId w:val="7"/>
        </w:numPr>
        <w:tabs>
          <w:tab w:val="clear" w:pos="708"/>
          <w:tab w:val="left" w:pos="626" w:leader="none"/>
        </w:tabs>
        <w:spacing w:lineRule="auto" w:line="360" w:before="120" w:after="120"/>
        <w:ind w:left="625" w:right="0" w:hanging="403"/>
        <w:contextualSpacing/>
        <w:rPr>
          <w:rFonts w:ascii="Arial" w:hAnsi="Arial"/>
        </w:rPr>
      </w:pPr>
      <w:r>
        <w:rPr>
          <w:rFonts w:cs="Caladea;Cambria" w:ascii="Arial" w:hAnsi="Arial"/>
          <w:sz w:val="24"/>
          <w:szCs w:val="24"/>
        </w:rPr>
        <w:t>Crimes tipificados na Lei nº</w:t>
      </w:r>
      <w:r>
        <w:rPr>
          <w:rFonts w:cs="Caladea;Cambria" w:ascii="Arial" w:hAnsi="Arial"/>
          <w:spacing w:val="-2"/>
          <w:sz w:val="24"/>
          <w:szCs w:val="24"/>
        </w:rPr>
        <w:t xml:space="preserve"> </w:t>
      </w:r>
      <w:r>
        <w:rPr>
          <w:rFonts w:cs="Caladea;Cambria" w:ascii="Arial" w:hAnsi="Arial"/>
          <w:sz w:val="24"/>
          <w:szCs w:val="24"/>
        </w:rPr>
        <w:t>11.343/06.</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Estatuto do Desarmamento (Lei nº</w:t>
      </w:r>
      <w:r>
        <w:rPr>
          <w:rFonts w:cs="Caladea;Cambria" w:ascii="Arial" w:hAnsi="Arial"/>
          <w:spacing w:val="-10"/>
          <w:sz w:val="24"/>
          <w:szCs w:val="24"/>
        </w:rPr>
        <w:t xml:space="preserve"> </w:t>
      </w:r>
      <w:r>
        <w:rPr>
          <w:rFonts w:cs="Caladea;Cambria" w:ascii="Arial" w:hAnsi="Arial"/>
          <w:sz w:val="24"/>
          <w:szCs w:val="24"/>
        </w:rPr>
        <w:t>10.826/03).</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Diplomas legais, súmulas e jurisprudência correlata.</w:t>
      </w:r>
    </w:p>
    <w:p>
      <w:pPr>
        <w:pStyle w:val="Ttulo1"/>
        <w:spacing w:lineRule="auto" w:line="360" w:before="120" w:after="120"/>
        <w:ind w:left="140" w:right="0" w:hanging="0"/>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PROCESSUAL PENAL</w:t>
      </w:r>
    </w:p>
    <w:p>
      <w:pPr>
        <w:pStyle w:val="ListParagraph"/>
        <w:numPr>
          <w:ilvl w:val="0"/>
          <w:numId w:val="8"/>
        </w:numPr>
        <w:tabs>
          <w:tab w:val="clear" w:pos="708"/>
          <w:tab w:val="left" w:pos="719" w:leader="none"/>
        </w:tabs>
        <w:spacing w:lineRule="auto" w:line="360" w:before="120" w:after="120"/>
        <w:ind w:left="222" w:right="114" w:hanging="0"/>
        <w:contextualSpacing/>
        <w:rPr>
          <w:rFonts w:ascii="Arial" w:hAnsi="Arial"/>
        </w:rPr>
      </w:pPr>
      <w:r>
        <w:rPr>
          <w:rFonts w:cs="Caladea;Cambria" w:ascii="Arial" w:hAnsi="Arial"/>
          <w:sz w:val="24"/>
          <w:szCs w:val="24"/>
        </w:rPr>
        <w:t>Sistemas processuais penais. Princípios processuais penais. Princípios constitucionais. Aplicação e interpretação da lei processual. Norma Processual Penal: fonte e</w:t>
      </w:r>
      <w:r>
        <w:rPr>
          <w:rFonts w:cs="Caladea;Cambria" w:ascii="Arial" w:hAnsi="Arial"/>
          <w:spacing w:val="-2"/>
          <w:sz w:val="24"/>
          <w:szCs w:val="24"/>
        </w:rPr>
        <w:t xml:space="preserve"> </w:t>
      </w:r>
      <w:r>
        <w:rPr>
          <w:rFonts w:cs="Caladea;Cambria" w:ascii="Arial" w:hAnsi="Arial"/>
          <w:sz w:val="24"/>
          <w:szCs w:val="24"/>
        </w:rPr>
        <w:t>eficácia.</w:t>
      </w:r>
    </w:p>
    <w:p>
      <w:pPr>
        <w:pStyle w:val="ListParagraph"/>
        <w:numPr>
          <w:ilvl w:val="0"/>
          <w:numId w:val="8"/>
        </w:numPr>
        <w:tabs>
          <w:tab w:val="clear" w:pos="708"/>
          <w:tab w:val="left" w:pos="534" w:leader="none"/>
        </w:tabs>
        <w:spacing w:lineRule="auto" w:line="360" w:before="120" w:after="120"/>
        <w:ind w:left="222" w:right="120" w:hanging="0"/>
        <w:contextualSpacing/>
        <w:rPr>
          <w:rFonts w:ascii="Arial" w:hAnsi="Arial" w:cs="Caladea;Cambria"/>
          <w:sz w:val="24"/>
          <w:szCs w:val="24"/>
        </w:rPr>
      </w:pPr>
      <w:r>
        <w:rPr>
          <w:rFonts w:cs="Caladea;Cambria" w:ascii="Arial" w:hAnsi="Arial"/>
          <w:sz w:val="24"/>
          <w:szCs w:val="24"/>
        </w:rPr>
        <w:t>Persecução penal. Inquérito policial e outros procedimentos preparatórios da ação penal.</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Arquivamento e desarquivamento de inquérito policial e peças de</w:t>
      </w:r>
      <w:r>
        <w:rPr>
          <w:rFonts w:cs="Caladea;Cambria" w:ascii="Arial" w:hAnsi="Arial"/>
          <w:spacing w:val="-18"/>
          <w:sz w:val="24"/>
          <w:szCs w:val="24"/>
        </w:rPr>
        <w:t xml:space="preserve"> </w:t>
      </w:r>
      <w:r>
        <w:rPr>
          <w:rFonts w:cs="Caladea;Cambria" w:ascii="Arial" w:hAnsi="Arial"/>
          <w:sz w:val="24"/>
          <w:szCs w:val="24"/>
        </w:rPr>
        <w:t>informação.</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Condições da ação. Pressupostos</w:t>
      </w:r>
      <w:r>
        <w:rPr>
          <w:rFonts w:cs="Caladea;Cambria" w:ascii="Arial" w:hAnsi="Arial"/>
          <w:spacing w:val="-6"/>
          <w:sz w:val="24"/>
          <w:szCs w:val="24"/>
        </w:rPr>
        <w:t xml:space="preserve"> </w:t>
      </w:r>
      <w:r>
        <w:rPr>
          <w:rFonts w:cs="Caladea;Cambria" w:ascii="Arial" w:hAnsi="Arial"/>
          <w:sz w:val="24"/>
          <w:szCs w:val="24"/>
        </w:rPr>
        <w:t>processuais.</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Ação penal pública. Ação penal privada. Ação penal privada subsidiária da</w:t>
      </w:r>
      <w:r>
        <w:rPr>
          <w:rFonts w:cs="Caladea;Cambria" w:ascii="Arial" w:hAnsi="Arial"/>
          <w:spacing w:val="-29"/>
          <w:sz w:val="24"/>
          <w:szCs w:val="24"/>
        </w:rPr>
        <w:t xml:space="preserve"> </w:t>
      </w:r>
      <w:r>
        <w:rPr>
          <w:rFonts w:cs="Caladea;Cambria" w:ascii="Arial" w:hAnsi="Arial"/>
          <w:sz w:val="24"/>
          <w:szCs w:val="24"/>
        </w:rPr>
        <w:t>pública.</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Competência.</w:t>
      </w:r>
      <w:r>
        <w:rPr>
          <w:rFonts w:cs="Caladea;Cambria" w:ascii="Arial" w:hAnsi="Arial"/>
          <w:spacing w:val="-1"/>
          <w:sz w:val="24"/>
          <w:szCs w:val="24"/>
        </w:rPr>
        <w:t xml:space="preserve"> </w:t>
      </w:r>
      <w:r>
        <w:rPr>
          <w:rFonts w:cs="Caladea;Cambria" w:ascii="Arial" w:hAnsi="Arial"/>
          <w:sz w:val="24"/>
          <w:szCs w:val="24"/>
        </w:rPr>
        <w:t>Jurisdição.</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cs="Caladea;Cambria"/>
          <w:sz w:val="24"/>
          <w:szCs w:val="24"/>
        </w:rPr>
      </w:pPr>
      <w:r>
        <w:rPr>
          <w:rFonts w:cs="Caladea;Cambria" w:ascii="Arial" w:hAnsi="Arial"/>
          <w:sz w:val="24"/>
          <w:szCs w:val="24"/>
        </w:rPr>
        <w:t>Prova.</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Sujeitos do</w:t>
      </w:r>
      <w:r>
        <w:rPr>
          <w:rFonts w:cs="Caladea;Cambria" w:ascii="Arial" w:hAnsi="Arial"/>
          <w:spacing w:val="-5"/>
          <w:sz w:val="24"/>
          <w:szCs w:val="24"/>
        </w:rPr>
        <w:t xml:space="preserve"> </w:t>
      </w:r>
      <w:r>
        <w:rPr>
          <w:rFonts w:cs="Caladea;Cambria" w:ascii="Arial" w:hAnsi="Arial"/>
          <w:sz w:val="24"/>
          <w:szCs w:val="24"/>
        </w:rPr>
        <w:t>processo.</w:t>
      </w:r>
    </w:p>
    <w:p>
      <w:pPr>
        <w:pStyle w:val="ListParagraph"/>
        <w:numPr>
          <w:ilvl w:val="0"/>
          <w:numId w:val="8"/>
        </w:numPr>
        <w:tabs>
          <w:tab w:val="clear" w:pos="708"/>
          <w:tab w:val="left" w:pos="491" w:leader="none"/>
        </w:tabs>
        <w:spacing w:lineRule="auto" w:line="360" w:before="120" w:after="120"/>
        <w:ind w:left="222" w:right="117" w:hanging="0"/>
        <w:contextualSpacing/>
        <w:rPr>
          <w:rFonts w:ascii="Arial" w:hAnsi="Arial"/>
        </w:rPr>
      </w:pPr>
      <w:r>
        <w:rPr>
          <w:rFonts w:cs="Caladea;Cambria" w:ascii="Arial" w:hAnsi="Arial"/>
          <w:sz w:val="24"/>
          <w:szCs w:val="24"/>
        </w:rPr>
        <w:t>Fatos e atos processuais. Citação, notificação e</w:t>
      </w:r>
      <w:r>
        <w:rPr>
          <w:rFonts w:cs="Caladea;Cambria" w:ascii="Arial" w:hAnsi="Arial"/>
          <w:spacing w:val="-9"/>
          <w:sz w:val="24"/>
          <w:szCs w:val="24"/>
        </w:rPr>
        <w:t xml:space="preserve"> </w:t>
      </w:r>
      <w:r>
        <w:rPr>
          <w:rFonts w:cs="Caladea;Cambria" w:ascii="Arial" w:hAnsi="Arial"/>
          <w:sz w:val="24"/>
          <w:szCs w:val="24"/>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cs="Caladea;Cambria" w:ascii="Arial" w:hAnsi="Arial"/>
          <w:spacing w:val="-2"/>
          <w:sz w:val="24"/>
          <w:szCs w:val="24"/>
        </w:rPr>
        <w:t xml:space="preserve"> </w:t>
      </w:r>
      <w:r>
        <w:rPr>
          <w:rFonts w:cs="Caladea;Cambria" w:ascii="Arial" w:hAnsi="Arial"/>
          <w:sz w:val="24"/>
          <w:szCs w:val="24"/>
        </w:rPr>
        <w:t>11.340/06).</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Prisão processual e</w:t>
      </w:r>
      <w:r>
        <w:rPr>
          <w:rFonts w:cs="Caladea;Cambria" w:ascii="Arial" w:hAnsi="Arial"/>
          <w:spacing w:val="-4"/>
          <w:sz w:val="24"/>
          <w:szCs w:val="24"/>
        </w:rPr>
        <w:t xml:space="preserve"> </w:t>
      </w:r>
      <w:r>
        <w:rPr>
          <w:rFonts w:cs="Caladea;Cambria" w:ascii="Arial" w:hAnsi="Arial"/>
          <w:sz w:val="24"/>
          <w:szCs w:val="24"/>
        </w:rPr>
        <w:t>liberdade.</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Sentença Penal. Efeitos da</w:t>
      </w:r>
      <w:r>
        <w:rPr>
          <w:rFonts w:cs="Caladea;Cambria" w:ascii="Arial" w:hAnsi="Arial"/>
          <w:spacing w:val="-3"/>
          <w:sz w:val="24"/>
          <w:szCs w:val="24"/>
        </w:rPr>
        <w:t xml:space="preserve"> </w:t>
      </w:r>
      <w:r>
        <w:rPr>
          <w:rFonts w:cs="Caladea;Cambria" w:ascii="Arial" w:hAnsi="Arial"/>
          <w:sz w:val="24"/>
          <w:szCs w:val="24"/>
        </w:rPr>
        <w:t>condenação.</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Recursos em matéria criminal e na execução</w:t>
      </w:r>
      <w:r>
        <w:rPr>
          <w:rFonts w:cs="Caladea;Cambria" w:ascii="Arial" w:hAnsi="Arial"/>
          <w:spacing w:val="-7"/>
          <w:sz w:val="24"/>
          <w:szCs w:val="24"/>
        </w:rPr>
        <w:t xml:space="preserve"> </w:t>
      </w:r>
      <w:r>
        <w:rPr>
          <w:rFonts w:cs="Caladea;Cambria" w:ascii="Arial" w:hAnsi="Arial"/>
          <w:sz w:val="24"/>
          <w:szCs w:val="24"/>
        </w:rPr>
        <w:t>penal</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Coisa julgada penal.</w:t>
      </w:r>
      <w:r>
        <w:rPr>
          <w:rFonts w:cs="Caladea;Cambria" w:ascii="Arial" w:hAnsi="Arial"/>
          <w:spacing w:val="-3"/>
          <w:sz w:val="24"/>
          <w:szCs w:val="24"/>
        </w:rPr>
        <w:t xml:space="preserve"> </w:t>
      </w:r>
      <w:r>
        <w:rPr>
          <w:rFonts w:cs="Caladea;Cambria" w:ascii="Arial" w:hAnsi="Arial"/>
          <w:sz w:val="24"/>
          <w:szCs w:val="24"/>
        </w:rPr>
        <w:t>Preclusão.</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Revisão criminal.</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Execução Penal (Lei 7.210/84).</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jc w:val="both"/>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CONSTITUCIONAL E PRINCÍPIOS INSTITUCIONAIS DA DEFENSORIA PÚBLICA</w:t>
      </w:r>
    </w:p>
    <w:p>
      <w:pPr>
        <w:pStyle w:val="ListParagraph"/>
        <w:numPr>
          <w:ilvl w:val="0"/>
          <w:numId w:val="9"/>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Constituição da República Federativa do Brasil de</w:t>
      </w:r>
      <w:r>
        <w:rPr>
          <w:rFonts w:cs="Caladea;Cambria" w:ascii="Arial" w:hAnsi="Arial"/>
          <w:b w:val="false"/>
          <w:bCs w:val="false"/>
          <w:spacing w:val="-3"/>
          <w:sz w:val="24"/>
          <w:szCs w:val="24"/>
        </w:rPr>
        <w:t xml:space="preserve"> </w:t>
      </w:r>
      <w:r>
        <w:rPr>
          <w:rFonts w:cs="Caladea;Cambria" w:ascii="Arial" w:hAnsi="Arial"/>
          <w:b w:val="false"/>
          <w:bCs w:val="false"/>
          <w:sz w:val="24"/>
          <w:szCs w:val="24"/>
        </w:rPr>
        <w:t>1988.</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Constituinte.</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Direitos e garantias</w:t>
      </w:r>
      <w:r>
        <w:rPr>
          <w:rFonts w:cs="Caladea;Cambria" w:ascii="Arial" w:hAnsi="Arial"/>
          <w:b w:val="false"/>
          <w:bCs w:val="false"/>
          <w:spacing w:val="-2"/>
          <w:sz w:val="24"/>
          <w:szCs w:val="24"/>
        </w:rPr>
        <w:t xml:space="preserve"> </w:t>
      </w:r>
      <w:r>
        <w:rPr>
          <w:rFonts w:cs="Caladea;Cambria" w:ascii="Arial" w:hAnsi="Arial"/>
          <w:b w:val="false"/>
          <w:bCs w:val="false"/>
          <w:sz w:val="24"/>
          <w:szCs w:val="24"/>
        </w:rPr>
        <w:t>fundamentais.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Nacionalidade – dos direitos políticos.</w:t>
      </w:r>
    </w:p>
    <w:p>
      <w:pPr>
        <w:pStyle w:val="ListParagraph"/>
        <w:numPr>
          <w:ilvl w:val="0"/>
          <w:numId w:val="9"/>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Organização político-administrativa do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Estado.</w:t>
      </w:r>
    </w:p>
    <w:p>
      <w:pPr>
        <w:pStyle w:val="Ttulo1"/>
        <w:tabs>
          <w:tab w:val="clear" w:pos="708"/>
          <w:tab w:val="left" w:pos="493" w:leader="none"/>
        </w:tabs>
        <w:spacing w:lineRule="auto" w:line="360" w:before="120" w:after="120"/>
        <w:ind w:left="492" w:right="0" w:hanging="270"/>
        <w:jc w:val="left"/>
        <w:rPr>
          <w:rFonts w:ascii="Arial" w:hAnsi="Arial"/>
        </w:rPr>
      </w:pPr>
      <w:r>
        <w:rPr>
          <w:rFonts w:cs="Caladea;Cambria" w:ascii="Arial" w:hAnsi="Arial"/>
          <w:b w:val="false"/>
          <w:bCs w:val="false"/>
          <w:sz w:val="24"/>
          <w:szCs w:val="24"/>
        </w:rPr>
        <w:t>Administração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pública.</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organização dos poderes.</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3"/>
          <w:sz w:val="24"/>
          <w:szCs w:val="24"/>
        </w:rPr>
        <w:t xml:space="preserve"> </w:t>
      </w:r>
      <w:r>
        <w:rPr>
          <w:rFonts w:cs="Caladea;Cambria" w:ascii="Arial" w:hAnsi="Arial"/>
          <w:b w:val="false"/>
          <w:bCs w:val="false"/>
          <w:sz w:val="24"/>
          <w:szCs w:val="24"/>
        </w:rPr>
        <w:t>Legislativo.</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2"/>
          <w:sz w:val="24"/>
          <w:szCs w:val="24"/>
        </w:rPr>
        <w:t xml:space="preserve"> </w:t>
      </w:r>
      <w:r>
        <w:rPr>
          <w:rFonts w:cs="Caladea;Cambria" w:ascii="Arial" w:hAnsi="Arial"/>
          <w:b w:val="false"/>
          <w:bCs w:val="false"/>
          <w:sz w:val="24"/>
          <w:szCs w:val="24"/>
        </w:rPr>
        <w:t>Judiciário</w:t>
      </w:r>
    </w:p>
    <w:p>
      <w:pPr>
        <w:pStyle w:val="Ttulo1"/>
        <w:tabs>
          <w:tab w:val="clear" w:pos="708"/>
          <w:tab w:val="left" w:pos="625" w:leader="none"/>
        </w:tabs>
        <w:spacing w:lineRule="auto" w:line="360" w:before="120" w:after="120"/>
        <w:ind w:left="624" w:right="0" w:hanging="402"/>
        <w:jc w:val="left"/>
        <w:rPr>
          <w:rFonts w:ascii="Arial" w:hAnsi="Arial"/>
        </w:rPr>
      </w:pPr>
      <w:r>
        <w:rPr>
          <w:rFonts w:cs="Caladea;Cambria" w:ascii="Arial" w:hAnsi="Arial"/>
          <w:b w:val="false"/>
          <w:bCs w:val="false"/>
          <w:sz w:val="24"/>
          <w:szCs w:val="24"/>
        </w:rPr>
        <w:t>Funções essenciais à</w:t>
      </w:r>
      <w:r>
        <w:rPr>
          <w:rFonts w:cs="Caladea;Cambria" w:ascii="Arial" w:hAnsi="Arial"/>
          <w:b w:val="false"/>
          <w:bCs w:val="false"/>
          <w:spacing w:val="-4"/>
          <w:sz w:val="24"/>
          <w:szCs w:val="24"/>
        </w:rPr>
        <w:t xml:space="preserve"> </w:t>
      </w:r>
      <w:r>
        <w:rPr>
          <w:rFonts w:cs="Caladea;Cambria" w:ascii="Arial" w:hAnsi="Arial"/>
          <w:b w:val="false"/>
          <w:bCs w:val="false"/>
          <w:sz w:val="24"/>
          <w:szCs w:val="24"/>
        </w:rPr>
        <w:t>Justiça.</w:t>
      </w:r>
    </w:p>
    <w:p>
      <w:pPr>
        <w:pStyle w:val="Ttulo1"/>
        <w:widowControl/>
        <w:numPr>
          <w:ilvl w:val="0"/>
          <w:numId w:val="0"/>
        </w:numPr>
        <w:tabs>
          <w:tab w:val="clear" w:pos="708"/>
          <w:tab w:val="left" w:pos="559" w:leader="none"/>
        </w:tabs>
        <w:suppressAutoHyphens w:val="true"/>
        <w:bidi w:val="0"/>
        <w:spacing w:lineRule="auto" w:line="360" w:before="120" w:after="120"/>
        <w:ind w:left="227" w:right="0" w:hanging="57"/>
        <w:jc w:val="left"/>
        <w:outlineLvl w:val="1"/>
        <w:rPr>
          <w:rFonts w:ascii="Arial" w:hAnsi="Arial"/>
        </w:rPr>
      </w:pPr>
      <w:r>
        <w:rPr>
          <w:rFonts w:eastAsia="Caladea;Cambria" w:cs="Caladea;Cambria" w:ascii="Arial" w:hAnsi="Arial"/>
          <w:b w:val="false"/>
          <w:bCs w:val="false"/>
          <w:sz w:val="24"/>
          <w:szCs w:val="24"/>
        </w:rPr>
        <w:t xml:space="preserve"> </w:t>
      </w:r>
      <w:r>
        <w:rPr>
          <w:rFonts w:cs="Caladea;Cambria" w:ascii="Arial" w:hAnsi="Arial"/>
          <w:b w:val="false"/>
          <w:bCs w:val="false"/>
          <w:sz w:val="24"/>
          <w:szCs w:val="24"/>
        </w:rPr>
        <w:t>Defensoria</w:t>
      </w:r>
      <w:r>
        <w:rPr>
          <w:rFonts w:cs="Caladea;Cambria" w:ascii="Arial" w:hAnsi="Arial"/>
          <w:b w:val="false"/>
          <w:bCs w:val="false"/>
          <w:spacing w:val="-2"/>
          <w:sz w:val="24"/>
          <w:szCs w:val="24"/>
        </w:rPr>
        <w:t xml:space="preserve"> </w:t>
      </w:r>
      <w:r>
        <w:rPr>
          <w:rFonts w:cs="Caladea;Cambria" w:ascii="Arial" w:hAnsi="Arial"/>
          <w:b w:val="false"/>
          <w:bCs w:val="false"/>
          <w:sz w:val="24"/>
          <w:szCs w:val="24"/>
        </w:rPr>
        <w:t>Pública:</w:t>
      </w:r>
      <w:r>
        <w:rPr>
          <w:rFonts w:cs="Caladea;Cambria" w:ascii="Arial" w:hAnsi="Arial"/>
          <w:sz w:val="24"/>
          <w:szCs w:val="24"/>
        </w:rPr>
        <w:t xml:space="preserve"> </w:t>
      </w:r>
      <w:r>
        <w:rPr>
          <w:rFonts w:cs="Caladea;Cambria" w:ascii="Arial" w:hAnsi="Arial"/>
          <w:b w:val="false"/>
          <w:bCs w:val="false"/>
          <w:sz w:val="24"/>
          <w:szCs w:val="24"/>
        </w:rPr>
        <w:t>Emenda Constitucional nº 80/2014. Lei complementar 80/94. Lei complementar 132/09.</w:t>
      </w:r>
    </w:p>
    <w:p>
      <w:pPr>
        <w:pStyle w:val="Corpodotexto"/>
        <w:numPr>
          <w:ilvl w:val="0"/>
          <w:numId w:val="9"/>
        </w:numPr>
        <w:spacing w:lineRule="auto" w:line="360" w:before="120" w:after="120"/>
        <w:jc w:val="left"/>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ind w:left="0" w:right="2032" w:hanging="0"/>
        <w:jc w:val="both"/>
        <w:rPr/>
      </w:pPr>
      <w:r>
        <w:rPr/>
      </w:r>
    </w:p>
    <w:sectPr>
      <w:headerReference w:type="default" r:id="rId6"/>
      <w:footerReference w:type="default" r:id="rId7"/>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pPr>
    <w:r>
      <mc:AlternateContent>
        <mc:Choice Requires="wps">
          <w:drawing>
            <wp:anchor behindDoc="1" distT="0" distB="0" distL="0" distR="0" simplePos="0" locked="0" layoutInCell="0" allowOverlap="1" relativeHeight="13">
              <wp:simplePos x="0" y="0"/>
              <wp:positionH relativeFrom="column">
                <wp:posOffset>509270</wp:posOffset>
              </wp:positionH>
              <wp:positionV relativeFrom="paragraph">
                <wp:posOffset>-26035</wp:posOffset>
              </wp:positionV>
              <wp:extent cx="4575175" cy="2540"/>
              <wp:effectExtent l="19050" t="19050" r="41910" b="38100"/>
              <wp:wrapNone/>
              <wp:docPr id="1" name="Conector reto 2"/>
              <a:graphic xmlns:a="http://schemas.openxmlformats.org/drawingml/2006/main">
                <a:graphicData uri="http://schemas.microsoft.com/office/word/2010/wordprocessingShape">
                  <wps:wsp>
                    <wps:cNvSpPr/>
                    <wps:spPr>
                      <a:xfrm>
                        <a:off x="0" y="0"/>
                        <a:ext cx="4574520" cy="720"/>
                      </a:xfrm>
                      <a:prstGeom prst="line">
                        <a:avLst/>
                      </a:prstGeom>
                      <a:ln w="9360">
                        <a:solidFill>
                          <a:srgbClr val="005400"/>
                        </a:solidFill>
                        <a:miter/>
                      </a:ln>
                    </wps:spPr>
                    <wps:style>
                      <a:lnRef idx="0"/>
                      <a:fillRef idx="0"/>
                      <a:effectRef idx="0"/>
                      <a:fontRef idx="minor"/>
                    </wps:style>
                    <wps:bodyPr/>
                  </wps:wsp>
                </a:graphicData>
              </a:graphic>
            </wp:anchor>
          </w:drawing>
        </mc:Choice>
        <mc:Fallback>
          <w:pict>
            <v:line id="shape_0" from="40.1pt,-2.05pt" to="400.25pt,-2.05pt" ID="Conector reto 2" stroked="t" style="position:absolute">
              <v:stroke color="#005400" weight="9360" joinstyle="miter" endcap="flat"/>
              <v:fill o:detectmouseclick="t" on="false"/>
              <w10:wrap type="none"/>
            </v:line>
          </w:pict>
        </mc:Fallback>
      </mc:AlternateContent>
    </w:r>
    <w:r>
      <w:rPr>
        <w:rFonts w:ascii="Ecofont Vera Sans" w:hAnsi="Ecofont Vera Sans"/>
        <w:color w:val="00000A"/>
        <w:sz w:val="20"/>
      </w:rPr>
      <w:t xml:space="preserve">Avenida </w:t>
    </w:r>
    <w:r>
      <w:rPr>
        <w:rFonts w:eastAsia="Times New Roman" w:cs="Times New Roman" w:ascii="Ecofont Vera Sans" w:hAnsi="Ecofont Vera Sans"/>
        <w:i/>
        <w:color w:val="00000A"/>
        <w:kern w:val="2"/>
        <w:sz w:val="20"/>
        <w:szCs w:val="20"/>
        <w:lang w:val="pt-BR" w:eastAsia="pt-BR" w:bidi="ar-SA"/>
      </w:rPr>
      <w:t>Barão de Capanema</w:t>
    </w:r>
    <w:r>
      <w:rPr>
        <w:rFonts w:ascii="Ecofont Vera Sans" w:hAnsi="Ecofont Vera Sans"/>
        <w:color w:val="00000A"/>
        <w:sz w:val="20"/>
      </w:rPr>
      <w:t xml:space="preserve">, 103, Centro – </w:t>
    </w:r>
    <w:r>
      <w:rPr>
        <w:rFonts w:eastAsia="Times New Roman" w:cs="Times New Roman" w:ascii="Ecofont Vera Sans" w:hAnsi="Ecofont Vera Sans"/>
        <w:i/>
        <w:color w:val="00000A"/>
        <w:kern w:val="2"/>
        <w:sz w:val="20"/>
        <w:szCs w:val="20"/>
        <w:lang w:val="pt-BR" w:eastAsia="pt-BR" w:bidi="ar-SA"/>
      </w:rPr>
      <w:t>Bacabal</w:t>
    </w:r>
    <w:r>
      <w:rPr>
        <w:rFonts w:ascii="Ecofont Vera Sans" w:hAnsi="Ecofont Vera Sans"/>
        <w:color w:val="00000A"/>
        <w:sz w:val="20"/>
      </w:rPr>
      <w:t>/MA – CEP 65</w:t>
    </w:r>
    <w:r>
      <w:rPr>
        <w:rFonts w:eastAsia="Times New Roman" w:cs="Times New Roman" w:ascii="Ecofont Vera Sans" w:hAnsi="Ecofont Vera Sans"/>
        <w:i/>
        <w:color w:val="00000A"/>
        <w:kern w:val="2"/>
        <w:sz w:val="20"/>
        <w:szCs w:val="20"/>
        <w:lang w:val="pt-BR" w:eastAsia="pt-BR" w:bidi="ar-SA"/>
      </w:rPr>
      <w:t>700-000</w:t>
    </w:r>
  </w:p>
  <w:p>
    <w:pPr>
      <w:pStyle w:val="Normal"/>
      <w:jc w:val="center"/>
      <w:rPr>
        <w:rFonts w:ascii="Ecofont Vera Sans" w:hAnsi="Ecofont Vera Sans"/>
        <w:i/>
        <w:i/>
        <w:sz w:val="20"/>
        <w:szCs w:val="20"/>
      </w:rPr>
    </w:pPr>
    <w:r>
      <w:rPr>
        <w:rFonts w:ascii="Ecofont Vera Sans" w:hAnsi="Ecofont Vera Sans"/>
        <w:i/>
        <w:sz w:val="20"/>
        <w:szCs w:val="20"/>
      </w:rPr>
      <w:t xml:space="preserve">Telefone: (099) </w:t>
    </w:r>
    <w:r>
      <w:rPr>
        <w:rFonts w:eastAsia="Calibri" w:cs="Times New Roman" w:ascii="Ecofont Vera Sans" w:hAnsi="Ecofont Vera Sans"/>
        <w:i/>
        <w:color w:val="00000A"/>
        <w:kern w:val="0"/>
        <w:sz w:val="20"/>
        <w:szCs w:val="20"/>
        <w:lang w:val="pt-BR" w:eastAsia="en-US" w:bidi="ar-SA"/>
      </w:rPr>
      <w:t>3621-0505</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490" w:hanging="269"/>
      </w:p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6">
    <w:lvl w:ilvl="0">
      <w:start w:val="1"/>
      <w:numFmt w:val="decimal"/>
      <w:lvlText w:val="%1."/>
      <w:lvlJc w:val="left"/>
      <w:pPr>
        <w:tabs>
          <w:tab w:val="num" w:pos="0"/>
        </w:tabs>
        <w:ind w:left="222" w:hanging="269"/>
      </w:p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7">
    <w:lvl w:ilvl="0">
      <w:start w:val="1"/>
      <w:numFmt w:val="decimal"/>
      <w:lvlText w:val="%1."/>
      <w:lvlJc w:val="left"/>
      <w:pPr>
        <w:tabs>
          <w:tab w:val="num" w:pos="0"/>
        </w:tabs>
        <w:ind w:left="222" w:hanging="286"/>
      </w:p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8">
    <w:lvl w:ilvl="0">
      <w:start w:val="1"/>
      <w:numFmt w:val="decimal"/>
      <w:lvlText w:val="%1."/>
      <w:lvlJc w:val="left"/>
      <w:pPr>
        <w:tabs>
          <w:tab w:val="num" w:pos="0"/>
        </w:tabs>
        <w:ind w:left="222" w:hanging="497"/>
      </w:p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9">
    <w:lvl w:ilvl="0">
      <w:start w:val="1"/>
      <w:numFmt w:val="decimal"/>
      <w:lvlText w:val="%1."/>
      <w:lvlJc w:val="left"/>
      <w:pPr>
        <w:tabs>
          <w:tab w:val="num" w:pos="0"/>
        </w:tabs>
        <w:ind w:left="490" w:hanging="269"/>
      </w:p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00000A"/>
      <w:kern w:val="0"/>
      <w:sz w:val="22"/>
      <w:szCs w:val="22"/>
      <w:lang w:val="pt-BR" w:eastAsia="en-US" w:bidi="ar-SA"/>
    </w:rPr>
  </w:style>
  <w:style w:type="paragraph" w:styleId="Ttulo1">
    <w:name w:val="Heading 1"/>
    <w:basedOn w:val="Normal"/>
    <w:qFormat/>
    <w:pPr>
      <w:ind w:left="140" w:right="0" w:hanging="0"/>
      <w:jc w:val="center"/>
      <w:outlineLvl w:val="1"/>
    </w:pPr>
    <w:rPr>
      <w:rFonts w:ascii="Calibri" w:hAnsi="Calibri" w:eastAsia="Calibri" w:cs="Calibri"/>
      <w:b/>
      <w:bCs/>
      <w:sz w:val="24"/>
      <w:szCs w:val="24"/>
      <w:lang w:val="pt-PT" w:eastAsia="en-US" w:bidi="ar-SA"/>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LinkdaInternet">
    <w:name w:val="Link da Internet"/>
    <w:basedOn w:val="DefaultParagraphFont"/>
    <w:uiPriority w:val="99"/>
    <w:unhideWhenUsed/>
    <w:rsid w:val="00700223"/>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Contedodatabela" w:customStyle="1">
    <w:name w:val="Conteúdo da tabela"/>
    <w:basedOn w:val="Normal"/>
    <w:qFormat/>
    <w:pPr>
      <w:suppressLineNumbers/>
    </w:pPr>
    <w:rPr/>
  </w:style>
  <w:style w:type="numbering" w:styleId="NoList" w:default="1">
    <w:name w:val="No List"/>
    <w:uiPriority w:val="99"/>
    <w:semiHidden/>
    <w:unhideWhenUsed/>
    <w:qFormat/>
  </w:style>
  <w:style w:type="numbering" w:styleId="WW8Num11">
    <w:name w:val="WW8Num11"/>
    <w:qFormat/>
  </w:style>
  <w:style w:type="numbering" w:styleId="WW8Num10">
    <w:name w:val="WW8Num10"/>
    <w:qFormat/>
  </w:style>
  <w:style w:type="numbering" w:styleId="WW8Num9">
    <w:name w:val="WW8Num9"/>
    <w:qFormat/>
  </w:style>
  <w:style w:type="numbering" w:styleId="WW8Num8">
    <w:name w:val="WW8Num8"/>
    <w:qFormat/>
  </w:style>
  <w:style w:type="numbering" w:styleId="WW8Num7">
    <w:name w:val="WW8Num7"/>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pastosbons@ma.def.br" TargetMode="External"/><Relationship Id="rId3" Type="http://schemas.openxmlformats.org/officeDocument/2006/relationships/hyperlink" Target="mailto:nucleoitapecuru@ma.def.br" TargetMode="External"/><Relationship Id="rId4" Type="http://schemas.openxmlformats.org/officeDocument/2006/relationships/hyperlink" Target="http://www.defensoria.ma.def.br/seletivo" TargetMode="External"/><Relationship Id="rId5" Type="http://schemas.openxmlformats.org/officeDocument/2006/relationships/hyperlink" Target="mailto:nucleoitapecuru@ma.def.b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Application>LibreOffice/7.1.0.3$Windows_X86_64 LibreOffice_project/f6099ecf3d29644b5008cc8f48f42f4a40986e4c</Application>
  <AppVersion>15.0000</AppVersion>
  <DocSecurity>0</DocSecurity>
  <Pages>11</Pages>
  <Words>2173</Words>
  <Characters>12734</Characters>
  <CharactersWithSpaces>14886</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2021-03-12T13:26:00Z</dcterms:created>
  <dc:creator>Fernanda Patricia Moura Barros</dc:creator>
  <dc:description/>
  <dc:language>pt-BR</dc:language>
  <cp:lastModifiedBy/>
  <cp:lastPrinted>2020-03-03T14:20:00Z</cp:lastPrinted>
  <dcterms:modified xsi:type="dcterms:W3CDTF">2021-04-28T10:12:15Z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