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keepLines/>
        <w:numPr>
          <w:ilvl w:val="0"/>
          <w:numId w:val="0"/>
        </w:numPr>
        <w:tabs>
          <w:tab w:val="clear" w:pos="708"/>
          <w:tab w:val="center" w:pos="5041" w:leader="none"/>
          <w:tab w:val="right" w:pos="10245" w:leader="none"/>
        </w:tabs>
        <w:spacing w:lineRule="auto" w:line="276" w:before="94" w:after="0"/>
        <w:ind w:left="-142" w:right="195" w:hanging="20"/>
        <w:jc w:val="center"/>
        <w:outlineLvl w:val="0"/>
        <w:rPr>
          <w:rFonts w:ascii="Times New Roman" w:hAnsi="Times New Roman" w:eastAsia="" w:cs="Times New Roman" w:eastAsiaTheme="majorEastAsia"/>
          <w:b/>
          <w:b/>
        </w:rPr>
      </w:pPr>
      <w:r>
        <w:rPr>
          <w:rFonts w:eastAsia="" w:cs="Times New Roman" w:ascii="Times New Roman" w:hAnsi="Times New Roman" w:eastAsiaTheme="majorEastAsia"/>
          <w:b/>
        </w:rPr>
        <w:t>EDITAL Nº 07/2021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cs="Times New Roman" w:ascii="Times New Roman" w:hAnsi="Times New Roman"/>
        </w:rPr>
        <w:t xml:space="preserve">DISPONIBILIZA OS ESPELHOS DE CORREÇÃO DAS QUESTÕES DO </w:t>
      </w:r>
      <w:r>
        <w:rPr>
          <w:rFonts w:eastAsia="Times New Roman" w:cs="Times New Roman" w:ascii="Times New Roman" w:hAnsi="Times New Roman"/>
        </w:rPr>
        <w:t>II PROCESSO SELETIVO PARA ESTÁGIO FORENSE DE PÓS-GRADUAÇÃO EM DIREITO</w:t>
      </w:r>
    </w:p>
    <w:p>
      <w:pPr>
        <w:pStyle w:val="Normal"/>
        <w:tabs>
          <w:tab w:val="clear" w:pos="708"/>
          <w:tab w:val="left" w:pos="689" w:leader="none"/>
        </w:tabs>
        <w:spacing w:lineRule="auto" w:line="276"/>
        <w:ind w:right="112" w:hanging="0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left="-142" w:right="195" w:hanging="20"/>
        <w:jc w:val="both"/>
        <w:outlineLvl w:val="0"/>
        <w:rPr>
          <w:rFonts w:ascii="Times New Roman" w:hAnsi="Times New Roman" w:eastAsia="" w:cs="Times New Roman" w:eastAsiaTheme="majorEastAsia"/>
        </w:rPr>
      </w:pPr>
      <w:r>
        <w:rPr>
          <w:rFonts w:eastAsia="" w:cs="Times New Roman" w:ascii="Times New Roman" w:hAnsi="Times New Roman" w:eastAsiaTheme="majorEastAsia"/>
          <w:b/>
        </w:rPr>
        <w:t>A COMISSÃO DO PROCESSO SELETIVO</w:t>
      </w:r>
      <w:r>
        <w:rPr>
          <w:rFonts w:eastAsia="" w:cs="Times New Roman" w:ascii="Times New Roman" w:hAnsi="Times New Roman" w:eastAsiaTheme="majorEastAsia"/>
        </w:rPr>
        <w:t>, no uso de suas atribuições, conferidas pela Portaria n° 064/2021-DPGE, de 28 de janeiro de 2021, e considerando o edital de abertura do II PROCESSO SELETIVO PARA ESTÁGIO FORENSE DE PÓS-GRADUAÇÃO EM DIREITO, resolve: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left="-142" w:right="195" w:hanging="20"/>
        <w:jc w:val="both"/>
        <w:outlineLvl w:val="0"/>
        <w:rPr>
          <w:rFonts w:ascii="Times New Roman" w:hAnsi="Times New Roman" w:eastAsia="" w:cs="Times New Roman" w:eastAsiaTheme="majorEastAsia"/>
          <w:lang w:val="pt-PT"/>
        </w:rPr>
      </w:pPr>
      <w:r>
        <w:rPr>
          <w:rFonts w:eastAsia="" w:cs="Times New Roman" w:ascii="Times New Roman" w:hAnsi="Times New Roman" w:eastAsiaTheme="majorEastAsia"/>
          <w:lang w:val="pt-PT"/>
        </w:rPr>
        <w:tab/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360"/>
        <w:ind w:left="-142" w:hanging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" w:cs="Times New Roman" w:ascii="Times New Roman" w:hAnsi="Times New Roman" w:eastAsiaTheme="majorEastAsia"/>
          <w:sz w:val="22"/>
          <w:szCs w:val="22"/>
        </w:rPr>
        <w:t>Art. 1º -</w:t>
      </w:r>
      <w:r>
        <w:rPr>
          <w:rFonts w:cs="Times New Roman" w:ascii="Times New Roman" w:hAnsi="Times New Roman"/>
          <w:sz w:val="22"/>
          <w:szCs w:val="22"/>
        </w:rPr>
        <w:t xml:space="preserve"> DISPONIBILIZAR os espelhos de correção das questões do II Processo seletivo para estágio forense de pós-graduação em Direito, conforme consta no edital de abertura e nos anexos I e II do presente edital.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360"/>
        <w:ind w:left="-142" w:hanging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360"/>
        <w:ind w:left="-142" w:hanging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" w:cs="Times New Roman" w:ascii="Times New Roman" w:hAnsi="Times New Roman" w:eastAsiaTheme="majorEastAsia"/>
          <w:sz w:val="22"/>
          <w:szCs w:val="22"/>
        </w:rPr>
        <w:t>Art.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2º - ESTENDER o prazo dos recursos até o dia 24 de março do corrente ano.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360"/>
        <w:ind w:left="-142" w:hanging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360"/>
        <w:ind w:left="-142" w:hanging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Publique-se e Cumpra-se.</w:t>
      </w:r>
    </w:p>
    <w:p>
      <w:pPr>
        <w:pStyle w:val="Normal"/>
        <w:widowControl w:val="false"/>
        <w:spacing w:lineRule="auto" w:line="276" w:before="10" w:after="0"/>
        <w:rPr>
          <w:rFonts w:ascii="Times New Roman" w:hAnsi="Times New Roman" w:eastAsia="Times New Roman" w:cs="Times New Roman"/>
          <w:lang w:val="pt-PT" w:eastAsia="pt-PT"/>
        </w:rPr>
      </w:pPr>
      <w:r>
        <w:rPr>
          <w:rFonts w:eastAsia="Times New Roman" w:cs="Times New Roman" w:ascii="Times New Roman" w:hAnsi="Times New Roman"/>
          <w:lang w:val="pt-PT" w:eastAsia="pt-PT"/>
        </w:rPr>
        <w:t xml:space="preserve">                                                     </w:t>
      </w:r>
      <w:bookmarkStart w:id="0" w:name="_GoBack"/>
      <w:bookmarkEnd w:id="0"/>
      <w:r>
        <w:rPr>
          <w:rFonts w:eastAsia="Times New Roman" w:cs="Times New Roman" w:ascii="Times New Roman" w:hAnsi="Times New Roman"/>
          <w:lang w:val="pt-PT" w:eastAsia="pt-PT"/>
        </w:rPr>
        <w:t xml:space="preserve">                                      </w:t>
      </w:r>
    </w:p>
    <w:p>
      <w:pPr>
        <w:pStyle w:val="Normal"/>
        <w:widowControl w:val="false"/>
        <w:spacing w:lineRule="auto" w:line="276" w:before="10" w:after="0"/>
        <w:rPr>
          <w:rFonts w:ascii="Times New Roman" w:hAnsi="Times New Roman" w:eastAsia="Times New Roman" w:cs="Times New Roman"/>
          <w:lang w:val="pt-PT" w:eastAsia="pt-PT"/>
        </w:rPr>
      </w:pPr>
      <w:r>
        <w:rPr>
          <w:rFonts w:eastAsia="Times New Roman" w:cs="Times New Roman" w:ascii="Times New Roman" w:hAnsi="Times New Roman"/>
          <w:lang w:val="pt-PT" w:eastAsia="pt-PT"/>
        </w:rPr>
      </w:r>
    </w:p>
    <w:p>
      <w:pPr>
        <w:pStyle w:val="Normal"/>
        <w:widowControl w:val="false"/>
        <w:spacing w:lineRule="auto" w:line="276" w:before="10" w:after="0"/>
        <w:jc w:val="right"/>
        <w:rPr>
          <w:rFonts w:ascii="Times New Roman" w:hAnsi="Times New Roman" w:eastAsia="Times New Roman" w:cs="Times New Roman"/>
          <w:lang w:val="pt-PT" w:eastAsia="pt-PT"/>
        </w:rPr>
      </w:pPr>
      <w:r>
        <w:rPr>
          <w:rFonts w:eastAsia="Times New Roman" w:cs="Times New Roman" w:ascii="Times New Roman" w:hAnsi="Times New Roman"/>
          <w:lang w:val="pt-PT" w:eastAsia="pt-PT"/>
        </w:rPr>
        <w:t>Timon/MA, 23 de março de 2021.</w:t>
      </w:r>
    </w:p>
    <w:p>
      <w:pPr>
        <w:pStyle w:val="Corpodotexto"/>
        <w:spacing w:before="1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                                       </w:t>
      </w:r>
    </w:p>
    <w:p>
      <w:pPr>
        <w:pStyle w:val="Corpodotexto"/>
        <w:spacing w:before="1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rpodotexto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rpodotexto"/>
        <w:spacing w:before="7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</w:r>
    </w:p>
    <w:p>
      <w:pPr>
        <w:pStyle w:val="ListParagraph"/>
        <w:tabs>
          <w:tab w:val="clear" w:pos="708"/>
          <w:tab w:val="left" w:pos="689" w:leader="none"/>
        </w:tabs>
        <w:spacing w:lineRule="auto" w:line="247"/>
        <w:ind w:left="720" w:right="112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</w:t>
      </w:r>
      <w:r>
        <w:rPr>
          <w:rFonts w:cs="Times New Roman" w:ascii="Times New Roman" w:hAnsi="Times New Roman"/>
        </w:rPr>
        <w:t>Creuza Maria Lopes</w:t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Defensora Pública/Presidente da Comissão</w:t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rpodotexto"/>
        <w:spacing w:lineRule="auto" w:line="247"/>
        <w:ind w:right="497" w:hanging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Maria Jeanete Fortes Silva</w:t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Defensora Pública/Vice-Presidente da Comissão</w:t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Ricardo Luís de Almeida Teixeira</w:t>
      </w:r>
    </w:p>
    <w:p>
      <w:pPr>
        <w:sectPr>
          <w:headerReference w:type="default" r:id="rId2"/>
          <w:footerReference w:type="default" r:id="rId3"/>
          <w:type w:val="nextPage"/>
          <w:pgSz w:w="12240" w:h="15840"/>
          <w:pgMar w:left="900" w:right="900" w:header="286" w:top="1418" w:footer="313" w:bottom="1040" w:gutter="0"/>
          <w:pgNumType w:fmt="decimal"/>
          <w:formProt w:val="false"/>
          <w:textDirection w:val="lrTb"/>
          <w:docGrid w:type="default" w:linePitch="100" w:charSpace="8192"/>
        </w:sectPr>
        <w:pStyle w:val="Corpodotexto"/>
        <w:spacing w:lineRule="auto" w:line="247"/>
        <w:ind w:right="497" w:hanging="0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Defensor Público/Secretário  da Comissão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360"/>
        <w:ind w:left="-142" w:hanging="0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ANEXO I 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360"/>
        <w:ind w:left="-142"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DO ESPELHO DA CORREÇÃO</w: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QUESTÃO 01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MARIA e JOSÉ iniciaram uma família através de união estável. Da relação nasceu RAFAEL. Quando este tinha seis meses de idade, o casal se separou. JOSÉ não quis pagar a pensão. MARIA, na qualidade de representante legal do filho, ingressou com a ação de alimentos. Na audiência de conciliação, instrução e julgamento o magistrado condenou JOSÉ ao pagamento de pensão alimentícia de 15% do salário-mínimo. O pagamento haveria de ser feito todo dia cinco. A sentença transitou em julgado. Entretanto, JOSÉ deixou de pagar a pensão. Com três meses de atraso, MARIA, na qualidade de representante legal do filho, ingressou com o pedido de cumprimento de sentença nos termos do art. 528 do CPC. Em razão da demora do trâmite processual, a dívida alcançou o valor de R$ 5.000,00 (cinco mil reais). JOSÉ apresentou justificativa no prazo legal alegando que não tinha como pagar a dívida porque estava sem renda. O magistrado designou audiência de conciliação. Na audiência, não houve acordo. Para evitar a prisão, JOSÉ informou que era proprietário de uma moto quitada que, através da tabela FIPE, estava avaliada em R$ 5.000,00 (cinco mil reais). Em razão disso, o JOSÉ ofereceu a moto para penhora. O Defensor de MARIA pediu a palavra e fundamentou a impossibilidade de aceitar a oferta porque, no seu entendimento, o rito do art. 528 do CPC não comportava a penhora de bens. O magistrado, por sua vez, deu a palavra para o defensor de JOSÉ contrapor a fundamentação do defensor de MARIA. Sendo você o defensor de JOSÉ, qual a fundamentação jurídica utilizaria para justificar a possibilidade ou não da penhora da moto? O pleito do JOSÉ é viável? Caso não seja viável, qual seria sua tese para evitar a prisão? Fundamente.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ESPELHO: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A situação se trata de uma questão prática do dia a dia forense no qual o advogado haveria de fazer uma fundamentação oral para defender o interesse de seu cliente. Nessa situação, o melhor caminho seria o candidato fundamentar a resposta baseado no Princípio do Melhor Interesse da Criança e do Adolescente e baseado no Princípio da Menor Onerosidade da Execução. Dessa forma, o pleito de JOSÉ é viável. O candidato haveria de explicar a razão da aplicação desses princípios no caso em análise.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QUESTÃO 02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JOSÉ mora em um imóvel urbano faz dez anos. O imóvel está localizado no centro de Timon/MA. O imóvel tem trezentos metros quadrados e é utilizado por JOSÉ para fins de moradia. JOSÉ ocupou o imóvel por ouvir falar que o imóvel era terra devoluta. Com dez anos de moradia, decidiu regularizar o imóvel e procurou a Defensoria Pública. Foi feita uma busca no Cartório de Registro de Imóveis. Pela busca foi constatada a ausência de registro de imóvel. Em seguida, foi feita uma busca nos órgãos competentes do Município de Timon. Com essa busca, foi descoberto que o imóvel pertence ao Município de Timon e estava anotado nos livros municipais de terrenos foreiros. Foi constatado ainda que, em relação ao imóvel, havia um contrato de enfiteuse que conferia o título de aforamento a MANO SILVA SOUSA. Este, por sua vez, nunca tomou posse do imóvel. Não sendo o bastante, MANO SILVA SOUSA estava em local incerto e não sabido, ninguém sabia o seu paradeiro. Diante da situação, seria possível regularizar o imóvel? Sendo possível, qual seria o melhor instrumento para a regularização fundiária? Caberia usucapião? Caso fosse possível pedir usucapião, seria melhor pedir usucapião judicial ou extrajudicial? Se o imóvel não tem registro, o Município tem o domínio do bem?</w:t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ESPELHO: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No caso seria possível a regularização fundiária via CDRU, mas esta não é o melhor caminho porque dependeria do poder discricionário da Administração Municipal. Além disso, a CDRU nem sempre permite o resgate. Em se tratando de terreno foreiro, o melhor caminho para a regularização seria a usucapião extrajudicial em face de MANO SILVA SOUSA. Este instrumento é melhor porque é mais célere. Após ata notarial de usucapião lavrada em cartório de notas, o assistido poderia pedir a usucapião no Cartório de Registro da Comarca de Timon/MA com os documentos próprios da ação de usucapião. Caberia usucapião porque o Município não perderia o domínio, apenas haveria uma substituição de enfiteuta. O Município tem o domínio porque, em regra, não é necessário registro de imóvel público diante do Princípio da Presunção de Veracidade dos Atos da Administração Pública, salvo as situações excepcionais previstas em lei que o candidato poderia mencionar. Os livros de terrenos foreiros são instrumentos históricos de prova de domínio. Em que pese a necessidade de registro do imóvel foreiro com base no Art. 167, inciso I, alínea 10, e inciso II, alínea 24, da Lei de Registros, a inércia do poder público e do beneficiário do título de aforamento não retira o bem do patrimônio jurídico do Município.</w:t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QUESTÃO 03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Rui Barbosa, um dos maiores juristas de todos os tempos, na obra: </w:t>
      </w:r>
      <w:r>
        <w:rPr>
          <w:rFonts w:cs="Times New Roman" w:ascii="Times New Roman" w:hAnsi="Times New Roman"/>
          <w:b/>
          <w:sz w:val="20"/>
          <w:szCs w:val="20"/>
        </w:rPr>
        <w:t xml:space="preserve"> O dever do advogado: carta a Evaristo de Morais</w:t>
      </w:r>
      <w:r>
        <w:rPr>
          <w:rFonts w:cs="Times New Roman" w:ascii="Times New Roman" w:hAnsi="Times New Roman"/>
          <w:sz w:val="20"/>
          <w:szCs w:val="20"/>
        </w:rPr>
        <w:t>, destaca não importar o quão execrando seja o delito imputado ao acusado, pois ainda assim a defesa não deve ser menos especial à satisfação da moralidade pública, concluindo que sua função</w:t>
      </w:r>
      <w:r>
        <w:rPr>
          <w:rFonts w:cs="Times New Roman" w:ascii="Times New Roman" w:hAnsi="Times New Roman"/>
          <w:b/>
          <w:i/>
          <w:sz w:val="20"/>
          <w:szCs w:val="20"/>
        </w:rPr>
        <w:t xml:space="preserve"> “consiste em ser, ao lado do acusado inocente, ou criminoso, a voz de seus direitos legais”.</w:t>
      </w:r>
      <w:r>
        <w:rPr>
          <w:rFonts w:cs="Times New Roman" w:ascii="Times New Roman" w:hAnsi="Times New Roman"/>
          <w:sz w:val="20"/>
          <w:szCs w:val="20"/>
        </w:rPr>
        <w:t xml:space="preserve"> Tal ensinamento, sempre atual, demonstra a exigência lógica do devido processo legal consistente na defesa criminal efetiva e não apenas figurativa. Neste contexto, o que é defesa criminal efetiva? Explique! Na hipótese de o caso possuir elementos concretos que tornem inviável qualquer tese absolutória em favor do acusado, aponte e fundamente, 04 (quatro) deveres fundamentais à defesa no bojo do processo de conhecimento que possam garantir a efetividade constitucional do direito de defesa.</w:t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ESPELHO</w:t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Fundamentando no art. 5º da CF, inc. XLIX , LIV, LV, LVI, LVII, LXII, LXVI, LXVIII; no Código Penal – circunstâncias judiciais, atenuantes ou causas de diminuição da pena, Código de Processo Penal art. 312 c/art 316 - Revogação de Prisão, art. 155, art. 394 a 405 - Instrução Processual, o candidato expõe, em que consiste o devido processo legal, contraditório, ampla defesa e a missão do profissional para garantir a efetividade dos direitos do acusado. Ao final aponta, pelo menos, 04 (quatro) deveres fundamentais, durante o processo de conhecimento, que podem ser: 1. tutelar a liberdade do acusado contra prisão provisória destituída dos requisitos cautelares; 2. garantir que sejam respeitadas integridades física e moral do acusado – que esteja preso cautelarmente; 3.fiscalizar o respeito à ordem processual; e 4. procurar obter no processo de conhecimento uma solução jurídica ou humanamente mais justa. (outros, observada a lógica)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QUESTÃO 04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Um determinado sujeito constitucional, escolhido e alcançado pelo sistema de justiça criminal, no dia 04 de julho de 2015, foi condenado a uma pena de 25 anos por latrocínio e corrupção de menor de idade, devendo a pena iniciar-se sob Regime Fechado. Ele preso em flagrante na data do fato, dia 03 de janeiro daquele ano (2015). Desde então, até a data do julgamento, ele foi mantido preso. A despeito até do trânsito em julgado da sentença penal condenatória, somente depois de ofício da Defensoria, solicitando a expedição da Guia de Recolhimento, essa foi formada e devidamente encaminhada ao juízo das execuções penais que a recebeu, formou os autos da execução penal como devido, fixando a data da prisão em flagrante como data do início do cumprimento da pena. Acontece que José Maria, o sujeito constitucional em questão, foi diagnosticado coma doença de Crohn, uma doença incurável. Não sendo o ambiente prisional adequado para os cuidados que a doença demanda e considerando que ele está no Regime Fechado não contemplado, portanto, pelo que prevê o artigo 117 da Lei das Execuções Penais, qual a solução para o problema descrito e com base em quais normas, sistemicamente, tal solução deveria ser apresentada? </w:t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ESPELHO</w:t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Prisão Domiciliar. Sistemicamente, com base em normas constitucionais, tais como, Dignidade Humana; Individualização da Pena; Proibição de Penas Cruéis; Direito à Saúde; Direito à Vida. Infraconstitucionalmente, artigo 116 da LEP. E, jurisprudencialmente, decisões do STJ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ANEXO  II 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DA FICHA TÉCNICA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Nome-______________________________________________________N_________</w:t>
      </w:r>
    </w:p>
    <w:p>
      <w:pPr>
        <w:pStyle w:val="Normal"/>
        <w:tabs>
          <w:tab w:val="clear" w:pos="708"/>
          <w:tab w:val="left" w:pos="614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CORREÇÃO /FICHA TÉCNICA</w:t>
      </w:r>
    </w:p>
    <w:tbl>
      <w:tblPr>
        <w:tblStyle w:val="Tabelacomgrade"/>
        <w:tblW w:w="920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90"/>
        <w:gridCol w:w="1842"/>
        <w:gridCol w:w="1277"/>
      </w:tblGrid>
      <w:tr>
        <w:trPr/>
        <w:tc>
          <w:tcPr>
            <w:tcW w:w="6090" w:type="dxa"/>
            <w:tcBorders/>
          </w:tcPr>
          <w:p>
            <w:pPr>
              <w:pStyle w:val="Corpodotex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CRITÉRIOS DE CORREÇÃO</w:t>
            </w:r>
          </w:p>
        </w:tc>
        <w:tc>
          <w:tcPr>
            <w:tcW w:w="1842" w:type="dxa"/>
            <w:tcBorders/>
          </w:tcPr>
          <w:p>
            <w:pPr>
              <w:pStyle w:val="Normal"/>
              <w:tabs>
                <w:tab w:val="clear" w:pos="708"/>
                <w:tab w:val="left" w:pos="614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NOTA</w:t>
            </w:r>
          </w:p>
          <w:p>
            <w:pPr>
              <w:pStyle w:val="Normal"/>
              <w:tabs>
                <w:tab w:val="clear" w:pos="708"/>
                <w:tab w:val="left" w:pos="614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tabs>
                <w:tab w:val="clear" w:pos="708"/>
                <w:tab w:val="left" w:pos="614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NOTA </w:t>
            </w:r>
          </w:p>
          <w:p>
            <w:pPr>
              <w:pStyle w:val="Normal"/>
              <w:tabs>
                <w:tab w:val="clear" w:pos="708"/>
                <w:tab w:val="left" w:pos="614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90" w:type="dxa"/>
            <w:tcBorders/>
          </w:tcPr>
          <w:p>
            <w:pPr>
              <w:pStyle w:val="Corpodotex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Cumpriu o número de linhas por questão</w:t>
            </w:r>
          </w:p>
        </w:tc>
        <w:tc>
          <w:tcPr>
            <w:tcW w:w="1842" w:type="dxa"/>
            <w:tcBorders/>
          </w:tcPr>
          <w:p>
            <w:pPr>
              <w:pStyle w:val="Normal"/>
              <w:tabs>
                <w:tab w:val="clear" w:pos="708"/>
                <w:tab w:val="left" w:pos="614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tabs>
                <w:tab w:val="clear" w:pos="708"/>
                <w:tab w:val="left" w:pos="614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90" w:type="dxa"/>
            <w:tcBorders/>
          </w:tcPr>
          <w:p>
            <w:pPr>
              <w:pStyle w:val="Normal"/>
              <w:tabs>
                <w:tab w:val="clear" w:pos="708"/>
                <w:tab w:val="left" w:pos="614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Grau de conhecimento técnico-jurídico conforme norma jurídica, a doutrina e a jurisprudência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tabs>
                <w:tab w:val="clear" w:pos="708"/>
                <w:tab w:val="left" w:pos="614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5,00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tabs>
                <w:tab w:val="clear" w:pos="708"/>
                <w:tab w:val="left" w:pos="614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90" w:type="dxa"/>
            <w:tcBorders/>
          </w:tcPr>
          <w:p>
            <w:pPr>
              <w:pStyle w:val="Normal"/>
              <w:tabs>
                <w:tab w:val="clear" w:pos="708"/>
                <w:tab w:val="left" w:pos="614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Fluência e coerência da exposição, a lógica jurídica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tabs>
                <w:tab w:val="clear" w:pos="708"/>
                <w:tab w:val="left" w:pos="614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2,00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tabs>
                <w:tab w:val="clear" w:pos="708"/>
                <w:tab w:val="left" w:pos="614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90" w:type="dxa"/>
            <w:tcBorders/>
          </w:tcPr>
          <w:p>
            <w:pPr>
              <w:pStyle w:val="Normal"/>
              <w:tabs>
                <w:tab w:val="clear" w:pos="708"/>
                <w:tab w:val="left" w:pos="614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Uso correto do vernáculo.</w:t>
            </w:r>
          </w:p>
        </w:tc>
        <w:tc>
          <w:tcPr>
            <w:tcW w:w="1842" w:type="dxa"/>
            <w:tcBorders/>
          </w:tcPr>
          <w:p>
            <w:pPr>
              <w:pStyle w:val="Normal"/>
              <w:tabs>
                <w:tab w:val="clear" w:pos="708"/>
                <w:tab w:val="left" w:pos="614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tabs>
                <w:tab w:val="clear" w:pos="708"/>
                <w:tab w:val="left" w:pos="614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90" w:type="dxa"/>
            <w:tcBorders/>
          </w:tcPr>
          <w:p>
            <w:pPr>
              <w:pStyle w:val="Normal"/>
              <w:tabs>
                <w:tab w:val="clear" w:pos="708"/>
                <w:tab w:val="left" w:pos="614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Escrita legível e inteligível</w:t>
            </w:r>
          </w:p>
        </w:tc>
        <w:tc>
          <w:tcPr>
            <w:tcW w:w="1842" w:type="dxa"/>
            <w:tcBorders/>
          </w:tcPr>
          <w:p>
            <w:pPr>
              <w:pStyle w:val="Normal"/>
              <w:tabs>
                <w:tab w:val="clear" w:pos="708"/>
                <w:tab w:val="left" w:pos="614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tabs>
                <w:tab w:val="clear" w:pos="708"/>
                <w:tab w:val="left" w:pos="614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90" w:type="dxa"/>
            <w:tcBorders/>
          </w:tcPr>
          <w:p>
            <w:pPr>
              <w:pStyle w:val="Normal"/>
              <w:tabs>
                <w:tab w:val="clear" w:pos="708"/>
                <w:tab w:val="left" w:pos="614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TOTAL</w:t>
            </w:r>
          </w:p>
        </w:tc>
        <w:tc>
          <w:tcPr>
            <w:tcW w:w="1842" w:type="dxa"/>
            <w:tcBorders/>
          </w:tcPr>
          <w:p>
            <w:pPr>
              <w:pStyle w:val="Normal"/>
              <w:tabs>
                <w:tab w:val="clear" w:pos="708"/>
                <w:tab w:val="left" w:pos="614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tabs>
                <w:tab w:val="clear" w:pos="708"/>
                <w:tab w:val="left" w:pos="614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276" w:before="1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</w:t>
      </w:r>
    </w:p>
    <w:p>
      <w:pPr>
        <w:pStyle w:val="Normal"/>
        <w:widowControl w:val="false"/>
        <w:spacing w:lineRule="auto" w:line="276" w:before="10" w:after="0"/>
        <w:jc w:val="right"/>
        <w:rPr>
          <w:rFonts w:ascii="Times New Roman" w:hAnsi="Times New Roman" w:eastAsia="Times New Roman" w:cs="Times New Roman"/>
          <w:lang w:val="pt-PT" w:eastAsia="pt-PT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  <w:lang w:val="pt-PT" w:eastAsia="pt-PT"/>
        </w:rPr>
        <w:t>Timon/MA, 23 de março de 2021.</w:t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  <w:lang w:val="pt-PT" w:eastAsia="pt-PT"/>
        </w:rPr>
      </w:pPr>
      <w:r>
        <w:rPr>
          <w:rFonts w:eastAsia="Times New Roman" w:cs="Times New Roman" w:ascii="Times New Roman" w:hAnsi="Times New Roman"/>
          <w:lang w:val="pt-PT" w:eastAsia="pt-PT"/>
        </w:rPr>
      </w:r>
    </w:p>
    <w:p>
      <w:pPr>
        <w:pStyle w:val="Corpodotexto"/>
        <w:spacing w:before="94" w:after="0"/>
        <w:ind w:left="279" w:hanging="0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ab/>
      </w:r>
      <w:r>
        <w:rPr>
          <w:rFonts w:cs="Times New Roman" w:ascii="Times New Roman" w:hAnsi="Times New Roman"/>
          <w:sz w:val="22"/>
          <w:szCs w:val="22"/>
        </w:rPr>
        <w:t>Publique-se e Cumpra-se.</w:t>
      </w:r>
    </w:p>
    <w:p>
      <w:pPr>
        <w:pStyle w:val="Corpodotexto"/>
        <w:spacing w:before="1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                                       </w:t>
      </w:r>
    </w:p>
    <w:p>
      <w:pPr>
        <w:pStyle w:val="Corpodotexto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rpodotexto"/>
        <w:spacing w:before="7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</w:r>
    </w:p>
    <w:p>
      <w:pPr>
        <w:pStyle w:val="ListParagraph"/>
        <w:tabs>
          <w:tab w:val="clear" w:pos="708"/>
          <w:tab w:val="left" w:pos="689" w:leader="none"/>
        </w:tabs>
        <w:spacing w:lineRule="auto" w:line="247"/>
        <w:ind w:left="720" w:right="112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</w:t>
      </w:r>
      <w:r>
        <w:rPr>
          <w:rFonts w:cs="Times New Roman" w:ascii="Times New Roman" w:hAnsi="Times New Roman"/>
        </w:rPr>
        <w:t>Creuza Maria Lopes</w:t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Defensora Pública/Presidente da Comissão</w:t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rpodotexto"/>
        <w:spacing w:lineRule="auto" w:line="247"/>
        <w:ind w:right="497" w:hanging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Maria Jeanete Fortes Silva</w:t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Defensora Pública/Vice-Presidente da Comissão</w:t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Ricardo Luís de Almeida Teixeira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left="-142" w:right="195" w:hanging="20"/>
        <w:jc w:val="center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Defensor Público/Secretário da Comissão</w:t>
      </w:r>
    </w:p>
    <w:sectPr>
      <w:headerReference w:type="default" r:id="rId4"/>
      <w:footerReference w:type="default" r:id="rId5"/>
      <w:type w:val="nextPage"/>
      <w:pgSz w:w="12240" w:h="15840"/>
      <w:pgMar w:left="900" w:right="900" w:header="286" w:top="1418" w:footer="313" w:bottom="104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>
        <w:rFonts w:cs="Times New Roman" w:ascii="Times New Roman" w:hAnsi="Times New Roman"/>
        <w:lang w:eastAsia="pt-BR"/>
      </w:rPr>
      <w:t xml:space="preserve">                                                                          </w:t>
    </w:r>
    <w:r>
      <w:rPr/>
      <w:drawing>
        <wp:inline distT="0" distB="0" distL="0" distR="0">
          <wp:extent cx="1104900" cy="908685"/>
          <wp:effectExtent l="0" t="0" r="0" b="0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orpodotexto"/>
      <w:spacing w:lineRule="auto" w:line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t xml:space="preserve">                                                                              </w:t>
    </w:r>
    <w:r>
      <w:rPr/>
      <w:drawing>
        <wp:inline distT="0" distB="0" distL="0" distR="0">
          <wp:extent cx="1104900" cy="908685"/>
          <wp:effectExtent l="0" t="0" r="0" b="0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</w:t>
    </w:r>
  </w:p>
  <w:p>
    <w:pPr>
      <w:pStyle w:val="Corpodotexto"/>
      <w:spacing w:lineRule="auto" w:line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rsid w:val="005c0f36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0f36"/>
    <w:pPr>
      <w:keepNext w:val="true"/>
      <w:keepLines/>
      <w:widowControl w:val="false"/>
      <w:spacing w:lineRule="auto" w:line="240"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5c0f36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lang w:val="pt-PT" w:eastAsia="pt-PT" w:bidi="pt-PT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5c0f36"/>
    <w:rPr>
      <w:rFonts w:ascii="Arial" w:hAnsi="Arial" w:eastAsia="Arial" w:cs="Arial"/>
      <w:color w:val="00000A"/>
      <w:sz w:val="20"/>
      <w:szCs w:val="20"/>
      <w:lang w:val="pt-PT" w:eastAsia="pt-PT" w:bidi="pt-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5c0f3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5c0f36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5c0f36"/>
    <w:pPr>
      <w:widowControl w:val="false"/>
      <w:spacing w:lineRule="auto" w:line="240" w:before="0" w:after="0"/>
    </w:pPr>
    <w:rPr>
      <w:rFonts w:ascii="Arial" w:hAnsi="Arial" w:eastAsia="Arial" w:cs="Arial"/>
      <w:color w:val="00000A"/>
      <w:sz w:val="20"/>
      <w:szCs w:val="20"/>
      <w:lang w:val="pt-PT" w:eastAsia="pt-PT" w:bidi="pt-PT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5c0f36"/>
    <w:pPr>
      <w:spacing w:before="0" w:after="160"/>
      <w:ind w:left="720" w:hanging="0"/>
      <w:contextualSpacing/>
    </w:pPr>
    <w:rPr/>
  </w:style>
  <w:style w:type="paragraph" w:styleId="Contedodoquadro" w:customStyle="1">
    <w:name w:val="Conteúdo do quadro"/>
    <w:basedOn w:val="Normal"/>
    <w:qFormat/>
    <w:rsid w:val="005c0f36"/>
    <w:pPr>
      <w:widowControl w:val="false"/>
      <w:spacing w:lineRule="auto" w:line="240" w:before="0" w:after="0"/>
    </w:pPr>
    <w:rPr>
      <w:rFonts w:ascii="Arial" w:hAnsi="Arial" w:eastAsia="Arial" w:cs="Arial"/>
      <w:color w:val="00000A"/>
      <w:lang w:val="pt-PT" w:eastAsia="pt-PT" w:bidi="pt-PT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c0f3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5c0f3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c0f3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LibreOffice/6.4.6.2$Windows_X86_64 LibreOffice_project/0ce51a4fd21bff07a5c061082cc82c5ed232f115</Application>
  <Pages>4</Pages>
  <Words>1569</Words>
  <Characters>8279</Characters>
  <CharactersWithSpaces>10354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2021-03-23T11:11:00Z</dcterms:created>
  <dc:creator>CREUZA  LOPES</dc:creator>
  <dc:description/>
  <dc:language>pt-BR</dc:language>
  <cp:lastModifiedBy>CREUZA  LOPES</cp:lastModifiedBy>
  <cp:lastPrinted>2021-03-23T11:01:00Z</cp:lastPrinted>
  <dcterms:modified xsi:type="dcterms:W3CDTF">2021-03-23T11:11:00Z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