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true"/>
        <w:keepLines/>
        <w:numPr>
          <w:ilvl w:val="0"/>
          <w:numId w:val="0"/>
        </w:numPr>
        <w:tabs>
          <w:tab w:val="clear" w:pos="708"/>
          <w:tab w:val="center" w:pos="5041" w:leader="none"/>
          <w:tab w:val="right" w:pos="10245" w:leader="none"/>
        </w:tabs>
        <w:spacing w:lineRule="auto" w:line="276" w:before="94" w:after="0"/>
        <w:ind w:left="-142" w:right="195" w:hanging="20"/>
        <w:jc w:val="center"/>
        <w:outlineLvl w:val="0"/>
        <w:rPr>
          <w:rFonts w:eastAsia="" w:cs="Calibri" w:cstheme="minorHAnsi" w:eastAsiaTheme="majorEastAsia"/>
          <w:b/>
          <w:b/>
        </w:rPr>
      </w:pPr>
      <w:r>
        <w:rPr>
          <w:rFonts w:eastAsia="" w:cs="Calibri" w:cstheme="minorHAnsi" w:eastAsiaTheme="majorEastAsia"/>
          <w:b/>
        </w:rPr>
        <w:t>EDITAL Nº 08/2021</w:t>
      </w:r>
    </w:p>
    <w:p>
      <w:pPr>
        <w:pStyle w:val="Normal"/>
        <w:spacing w:lineRule="auto" w:line="276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</w:r>
    </w:p>
    <w:p>
      <w:pPr>
        <w:pStyle w:val="Normal"/>
        <w:spacing w:lineRule="auto" w:line="276"/>
        <w:jc w:val="both"/>
        <w:rPr>
          <w:rFonts w:eastAsia="Times New Roman" w:cs="Calibri" w:cstheme="minorHAnsi"/>
          <w:b/>
          <w:b/>
        </w:rPr>
      </w:pPr>
      <w:r>
        <w:rPr>
          <w:rFonts w:cs="Calibri" w:cstheme="minorHAnsi"/>
        </w:rPr>
        <w:t xml:space="preserve">PUBLICA AS DECISÕES DOS RECURSOS DA PROVA ESCRITA DO </w:t>
      </w:r>
      <w:r>
        <w:rPr>
          <w:rFonts w:eastAsia="Times New Roman" w:cs="Calibri" w:cstheme="minorHAnsi"/>
        </w:rPr>
        <w:t>II PROCESSO SELETIVO PARA ESTÁGIO FORENSE DE PÓS-GRADUAÇÃO EM DIREITO</w:t>
      </w:r>
    </w:p>
    <w:p>
      <w:pPr>
        <w:pStyle w:val="Normal"/>
        <w:tabs>
          <w:tab w:val="clear" w:pos="708"/>
          <w:tab w:val="left" w:pos="689" w:leader="none"/>
        </w:tabs>
        <w:spacing w:lineRule="auto" w:line="276"/>
        <w:ind w:right="112" w:hanging="0"/>
        <w:jc w:val="both"/>
        <w:rPr>
          <w:rFonts w:eastAsia="Times New Roman" w:cs="Calibri" w:cstheme="minorHAnsi"/>
          <w:b/>
          <w:b/>
        </w:rPr>
      </w:pPr>
      <w:r>
        <w:rPr>
          <w:rFonts w:eastAsia="Times New Roman" w:cs="Calibri" w:cstheme="minorHAnsi"/>
          <w:b/>
        </w:rPr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76" w:before="94" w:after="0"/>
        <w:ind w:left="-142" w:right="195" w:hanging="20"/>
        <w:jc w:val="both"/>
        <w:outlineLvl w:val="0"/>
        <w:rPr>
          <w:rFonts w:eastAsia="" w:cs="Calibri" w:cstheme="minorHAnsi" w:eastAsiaTheme="majorEastAsia"/>
        </w:rPr>
      </w:pPr>
      <w:r>
        <w:rPr>
          <w:rFonts w:eastAsia="" w:cs="Calibri" w:cstheme="minorHAnsi" w:eastAsiaTheme="majorEastAsia"/>
          <w:b/>
        </w:rPr>
        <w:t>A COMISSÃO DO PROCESSO SELETIVO</w:t>
      </w:r>
      <w:r>
        <w:rPr>
          <w:rFonts w:eastAsia="" w:cs="Calibri" w:cstheme="minorHAnsi" w:eastAsiaTheme="majorEastAsia"/>
        </w:rPr>
        <w:t>, no uso de suas atribuições, conferidas pela Portaria n° 064/2021-DPGE, de 28 de janeiro de 2021, e considerando o edital de abertura do II PROCESSO SELETIVO PARA ESTÁGIO FORENSE DE PÓS-GRADUAÇÃO EM DIREITO, resolve: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76" w:before="94" w:after="0"/>
        <w:ind w:left="-142" w:right="195" w:hanging="20"/>
        <w:jc w:val="both"/>
        <w:outlineLvl w:val="0"/>
        <w:rPr>
          <w:rFonts w:eastAsia="" w:cs="Calibri" w:cstheme="minorHAnsi" w:eastAsiaTheme="majorEastAsia"/>
          <w:lang w:val="pt-PT"/>
        </w:rPr>
      </w:pPr>
      <w:r>
        <w:rPr>
          <w:rFonts w:eastAsia="" w:cs="Calibri" w:cstheme="minorHAnsi" w:eastAsiaTheme="majorEastAsia"/>
          <w:lang w:val="pt-PT"/>
        </w:rPr>
        <w:tab/>
      </w:r>
    </w:p>
    <w:p>
      <w:pPr>
        <w:pStyle w:val="Corpodotexto"/>
        <w:tabs>
          <w:tab w:val="clear" w:pos="708"/>
          <w:tab w:val="left" w:pos="8647" w:leader="none"/>
          <w:tab w:val="left" w:pos="8789" w:leader="none"/>
        </w:tabs>
        <w:spacing w:lineRule="auto" w:line="360"/>
        <w:ind w:left="-142" w:hanging="0"/>
        <w:rPr>
          <w:rFonts w:ascii="Calibri" w:hAnsi="Calibri" w:eastAsia="Times New Roman" w:cs="Calibri" w:asciiTheme="minorHAnsi" w:cstheme="minorHAnsi" w:hAnsiTheme="minorHAnsi"/>
          <w:sz w:val="22"/>
          <w:szCs w:val="22"/>
        </w:rPr>
      </w:pPr>
      <w:r>
        <w:rPr>
          <w:rFonts w:eastAsia="" w:cs="Calibri" w:ascii="Calibri" w:hAnsi="Calibri" w:asciiTheme="minorHAnsi" w:cstheme="minorHAnsi" w:eastAsiaTheme="majorEastAsia" w:hAnsiTheme="minorHAnsi"/>
          <w:sz w:val="22"/>
          <w:szCs w:val="22"/>
        </w:rPr>
        <w:t>Art. 1º -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PUBLICAR as decisões dos recursos da prova escrita do II Processo seletivo para estágio forense de pós-graduação em Direito, conforme consta no edital de abertura e nos anexos I, II, III e IV do presente edital.</w:t>
      </w:r>
      <w:r>
        <w:rPr>
          <w:rFonts w:eastAsia="Times New Roman" w:cs="Calibri" w:ascii="Calibri" w:hAnsi="Calibri" w:asciiTheme="minorHAnsi" w:cstheme="minorHAnsi" w:hAnsiTheme="minorHAnsi"/>
          <w:sz w:val="22"/>
          <w:szCs w:val="22"/>
        </w:rPr>
        <w:t xml:space="preserve"> </w:t>
      </w:r>
    </w:p>
    <w:p>
      <w:pPr>
        <w:pStyle w:val="Corpodotexto"/>
        <w:tabs>
          <w:tab w:val="clear" w:pos="708"/>
          <w:tab w:val="left" w:pos="8647" w:leader="none"/>
          <w:tab w:val="left" w:pos="8789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  <w:sz w:val="22"/>
          <w:szCs w:val="22"/>
        </w:rPr>
      </w:pPr>
      <w:r>
        <w:rPr>
          <w:rFonts w:eastAsia="Times New Roman" w:cs="Calibri" w:cstheme="minorHAnsi" w:ascii="Calibri" w:hAnsi="Calibri"/>
          <w:sz w:val="22"/>
          <w:szCs w:val="22"/>
        </w:rPr>
      </w:r>
    </w:p>
    <w:p>
      <w:pPr>
        <w:pStyle w:val="Corpodotexto"/>
        <w:tabs>
          <w:tab w:val="clear" w:pos="708"/>
          <w:tab w:val="left" w:pos="8647" w:leader="none"/>
          <w:tab w:val="left" w:pos="8789" w:leader="none"/>
        </w:tabs>
        <w:spacing w:lineRule="auto" w:line="360"/>
        <w:ind w:left="-142" w:hanging="0"/>
        <w:rPr>
          <w:rFonts w:ascii="Calibri" w:hAnsi="Calibri" w:eastAsia="Times New Roman" w:cs="Calibri" w:asciiTheme="minorHAnsi" w:cstheme="minorHAnsi" w:hAnsiTheme="minorHAnsi"/>
          <w:sz w:val="22"/>
          <w:szCs w:val="22"/>
        </w:rPr>
      </w:pPr>
      <w:r>
        <w:rPr>
          <w:rFonts w:eastAsia="Times New Roman" w:cs="Calibri" w:ascii="Calibri" w:hAnsi="Calibri" w:asciiTheme="minorHAnsi" w:cstheme="minorHAnsi" w:hAnsiTheme="minorHAnsi"/>
          <w:sz w:val="22"/>
          <w:szCs w:val="22"/>
        </w:rPr>
        <w:t>Publique-se e Cumpra-se.</w:t>
      </w:r>
    </w:p>
    <w:p>
      <w:pPr>
        <w:pStyle w:val="Normal"/>
        <w:widowControl w:val="false"/>
        <w:spacing w:lineRule="auto" w:line="276" w:before="10" w:after="0"/>
        <w:rPr>
          <w:rFonts w:eastAsia="Times New Roman" w:cs="Calibri" w:cstheme="minorHAnsi"/>
          <w:lang w:val="pt-PT" w:eastAsia="pt-PT"/>
        </w:rPr>
      </w:pPr>
      <w:r>
        <w:rPr>
          <w:rFonts w:eastAsia="Times New Roman" w:cs="Calibri" w:cstheme="minorHAnsi"/>
          <w:lang w:val="pt-PT" w:eastAsia="pt-PT"/>
        </w:rPr>
        <w:t xml:space="preserve">                                                                                           </w:t>
      </w:r>
    </w:p>
    <w:p>
      <w:pPr>
        <w:pStyle w:val="Normal"/>
        <w:widowControl w:val="false"/>
        <w:spacing w:lineRule="auto" w:line="276" w:before="10" w:after="0"/>
        <w:rPr>
          <w:rFonts w:eastAsia="Times New Roman" w:cs="Calibri" w:cstheme="minorHAnsi"/>
          <w:lang w:val="pt-PT" w:eastAsia="pt-PT"/>
        </w:rPr>
      </w:pPr>
      <w:r>
        <w:rPr>
          <w:rFonts w:eastAsia="Times New Roman" w:cs="Calibri" w:cstheme="minorHAnsi"/>
          <w:lang w:val="pt-PT" w:eastAsia="pt-PT"/>
        </w:rPr>
      </w:r>
    </w:p>
    <w:p>
      <w:pPr>
        <w:pStyle w:val="Normal"/>
        <w:widowControl w:val="false"/>
        <w:spacing w:lineRule="auto" w:line="276" w:before="10" w:after="0"/>
        <w:jc w:val="right"/>
        <w:rPr>
          <w:rFonts w:eastAsia="Times New Roman" w:cs="Calibri" w:cstheme="minorHAnsi"/>
          <w:lang w:val="pt-PT" w:eastAsia="pt-PT"/>
        </w:rPr>
      </w:pPr>
      <w:r>
        <w:rPr>
          <w:rFonts w:eastAsia="Times New Roman" w:cs="Calibri" w:cstheme="minorHAnsi"/>
          <w:lang w:val="pt-PT" w:eastAsia="pt-PT"/>
        </w:rPr>
        <w:t>Timon/MA, 29 de março de 2021.</w:t>
      </w:r>
    </w:p>
    <w:p>
      <w:pPr>
        <w:pStyle w:val="Corpodotexto"/>
        <w:spacing w:before="10" w:after="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                                                                                          </w:t>
      </w:r>
    </w:p>
    <w:p>
      <w:pPr>
        <w:pStyle w:val="Corpodotexto"/>
        <w:spacing w:before="10" w:after="0"/>
        <w:jc w:val="right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Corpodotexto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Corpodotexto"/>
        <w:spacing w:before="7" w:after="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ab/>
      </w:r>
    </w:p>
    <w:p>
      <w:pPr>
        <w:pStyle w:val="ListParagraph"/>
        <w:tabs>
          <w:tab w:val="clear" w:pos="708"/>
          <w:tab w:val="left" w:pos="689" w:leader="none"/>
        </w:tabs>
        <w:spacing w:lineRule="auto" w:line="247"/>
        <w:ind w:left="720" w:right="112" w:hanging="0"/>
        <w:rPr>
          <w:rFonts w:cs="Calibri" w:cstheme="minorHAnsi"/>
        </w:rPr>
      </w:pPr>
      <w:r>
        <w:rPr>
          <w:rFonts w:cs="Calibri" w:cstheme="minorHAnsi"/>
        </w:rPr>
        <w:t xml:space="preserve">                                                        </w:t>
      </w:r>
      <w:r>
        <w:rPr>
          <w:rFonts w:cs="Calibri" w:cstheme="minorHAnsi"/>
        </w:rPr>
        <w:t>Creuza Maria Lopes</w:t>
      </w:r>
    </w:p>
    <w:p>
      <w:pPr>
        <w:pStyle w:val="Corpodotexto"/>
        <w:spacing w:lineRule="auto" w:line="247"/>
        <w:ind w:right="497" w:hanging="0"/>
        <w:jc w:val="center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Defensora Pública/Presidente da Comissão</w:t>
      </w:r>
    </w:p>
    <w:p>
      <w:pPr>
        <w:pStyle w:val="Corpodotexto"/>
        <w:spacing w:lineRule="auto" w:line="247"/>
        <w:ind w:right="497" w:hanging="0"/>
        <w:jc w:val="center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Corpodotexto"/>
        <w:spacing w:lineRule="auto" w:line="247"/>
        <w:ind w:right="497" w:hanging="0"/>
        <w:jc w:val="center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Corpodotexto"/>
        <w:spacing w:lineRule="auto" w:line="247"/>
        <w:ind w:right="497" w:hanging="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Corpodotexto"/>
        <w:spacing w:lineRule="auto" w:line="247"/>
        <w:ind w:right="497" w:hanging="0"/>
        <w:jc w:val="center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Maria Jeanete Fortes Silva</w:t>
      </w:r>
    </w:p>
    <w:p>
      <w:pPr>
        <w:pStyle w:val="Corpodotexto"/>
        <w:spacing w:lineRule="auto" w:line="247"/>
        <w:ind w:right="497" w:hanging="0"/>
        <w:jc w:val="center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Defensora Pública/Vice-Presidente da Comissão</w:t>
      </w:r>
    </w:p>
    <w:p>
      <w:pPr>
        <w:pStyle w:val="Corpodotexto"/>
        <w:spacing w:lineRule="auto" w:line="247"/>
        <w:ind w:right="497" w:hanging="0"/>
        <w:jc w:val="center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Corpodotexto"/>
        <w:spacing w:lineRule="auto" w:line="247"/>
        <w:ind w:right="497" w:hanging="0"/>
        <w:jc w:val="center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Corpodotexto"/>
        <w:spacing w:lineRule="auto" w:line="247"/>
        <w:ind w:right="497" w:hanging="0"/>
        <w:jc w:val="center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Corpodotexto"/>
        <w:spacing w:lineRule="auto" w:line="247"/>
        <w:ind w:right="497" w:hanging="0"/>
        <w:jc w:val="center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Ricardo Luís de Almeida Teixeira</w:t>
      </w:r>
    </w:p>
    <w:p>
      <w:pPr>
        <w:sectPr>
          <w:headerReference w:type="default" r:id="rId2"/>
          <w:footerReference w:type="default" r:id="rId3"/>
          <w:type w:val="nextPage"/>
          <w:pgSz w:w="12240" w:h="15840"/>
          <w:pgMar w:left="900" w:right="900" w:header="286" w:top="1418" w:footer="313" w:bottom="1040" w:gutter="0"/>
          <w:pgNumType w:fmt="decimal"/>
          <w:formProt w:val="false"/>
          <w:textDirection w:val="lrTb"/>
          <w:docGrid w:type="default" w:linePitch="100" w:charSpace="8192"/>
        </w:sectPr>
        <w:pStyle w:val="Corpodotexto"/>
        <w:spacing w:lineRule="auto" w:line="247"/>
        <w:ind w:right="497" w:hanging="0"/>
        <w:jc w:val="center"/>
        <w:rPr>
          <w:rFonts w:ascii="Calibri" w:hAnsi="Calibri" w:cs="Calibri" w:asciiTheme="minorHAnsi" w:cstheme="minorHAnsi" w:hAnsiTheme="minorHAnsi"/>
          <w:b/>
          <w:b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Defensor Público/Secretário  da Comissão</w:t>
      </w:r>
    </w:p>
    <w:p>
      <w:pPr>
        <w:pStyle w:val="Normal"/>
        <w:jc w:val="both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</w:r>
    </w:p>
    <w:p>
      <w:pPr>
        <w:pStyle w:val="Normal"/>
        <w:jc w:val="center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  <w:t>ANEXO I</w:t>
      </w:r>
    </w:p>
    <w:p>
      <w:pPr>
        <w:pStyle w:val="Normal"/>
        <w:jc w:val="center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</w:r>
    </w:p>
    <w:p>
      <w:pPr>
        <w:pStyle w:val="Normal"/>
        <w:jc w:val="both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  <w:t>RECORRENTE/CANDIDATA: Alessandra Assunção de Sousa</w:t>
      </w:r>
    </w:p>
    <w:p>
      <w:pPr>
        <w:pStyle w:val="Normal"/>
        <w:jc w:val="both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  <w:t>ANÁLISE DO RECURSO</w:t>
      </w:r>
    </w:p>
    <w:p>
      <w:pPr>
        <w:pStyle w:val="Normal"/>
        <w:jc w:val="both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</w:r>
    </w:p>
    <w:p>
      <w:pPr>
        <w:pStyle w:val="Normal"/>
        <w:ind w:firstLine="851"/>
        <w:jc w:val="both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  <w:t>A candidata recorreu das questões 01, 02 e 04 da prova escrita do processo seletivo para estágio forense, realizada no dia 12 de março de 2021.</w:t>
      </w:r>
    </w:p>
    <w:p>
      <w:pPr>
        <w:pStyle w:val="Normal"/>
        <w:ind w:firstLine="851"/>
        <w:jc w:val="both"/>
        <w:rPr>
          <w:rFonts w:eastAsia="Times New Roman" w:cs="Calibri" w:cstheme="minorHAnsi"/>
        </w:rPr>
      </w:pPr>
      <w:r>
        <w:rPr>
          <w:rFonts w:eastAsia="Times New Roman" w:cs="Calibri" w:cstheme="minorHAnsi"/>
          <w:b/>
        </w:rPr>
        <w:t>Acerca da questão 01</w:t>
      </w:r>
      <w:r>
        <w:rPr>
          <w:rFonts w:eastAsia="Times New Roman" w:cs="Calibri" w:cstheme="minorHAnsi"/>
        </w:rPr>
        <w:t>, a candidata alegou, em resumo, que: a) A questão não deixa claro se as partes estavam em uma audiência de conciliação; b) A mudança de rito só seria possível se houvesse a concordância do autor. Assim, requereu a reforma da nota por entender que sua resposta estava completamente correta.</w:t>
      </w:r>
    </w:p>
    <w:p>
      <w:pPr>
        <w:pStyle w:val="Normal"/>
        <w:ind w:firstLine="851"/>
        <w:jc w:val="both"/>
        <w:rPr>
          <w:rFonts w:eastAsia="Times New Roman" w:cs="Calibri" w:cstheme="minorHAnsi"/>
          <w:i/>
          <w:i/>
          <w:iCs/>
        </w:rPr>
      </w:pPr>
      <w:r>
        <w:rPr>
          <w:rFonts w:eastAsia="Times New Roman" w:cs="Calibri" w:cstheme="minorHAnsi"/>
        </w:rPr>
        <w:t xml:space="preserve">Para analisar o recurso, é preciso dizer que a banca examinadora fundamentou a nota através dos seguintes critérios: </w:t>
      </w:r>
      <w:r>
        <w:rPr>
          <w:rFonts w:eastAsia="Times New Roman" w:cs="Calibri" w:cstheme="minorHAnsi"/>
          <w:i/>
          <w:iCs/>
        </w:rPr>
        <w:t xml:space="preserve">“A candidata seguiu o número de linhas previstas no edital (1,00). Em relação ao conhecimento técnico, a candidata foi superficial não adentrando no debate da questão, inclusive não apresentando o Princípio do Melhor Interesse da Criança e tampouco o Princípio da Menor Onerosidade da Execução (3,00). A candidata pecou na fluência do texto, eis que utilizou uma estrutura redacional sem parágrafos e sem a separação quando da mudança de assunto relevante da discussão (1,00). Quanto ao uso correto do vernáculo, a candidata não cometeu erro grave (1,00). Quanto ao critério da escrita legível e inteligível, a candidata perdeu meio ponto porque escreve exageradamente em períodos longos, o que dificulta a boa compreensão do texto (0,5). TOTAL 6,5”. </w:t>
      </w:r>
    </w:p>
    <w:p>
      <w:pPr>
        <w:pStyle w:val="Normal"/>
        <w:ind w:firstLine="851"/>
        <w:jc w:val="both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  <w:t>Vale destacar que a questão deixou claro que a audiência em questão era uma audiência de conciliação. Destaca-se, ainda, que o fato de o magistrado aceitar a oferta da moto não significa mudança do rito, mas sim a mudança da forma de pagamento. Quanto aos princípios que a questão cobrava, os mesmos são essenciais para a fundamentação jurídica da questão. Sem essa fundamentação jurídica adequada, o advogado na audiência poderia gerar prejuízo para a parte.</w:t>
      </w:r>
    </w:p>
    <w:p>
      <w:pPr>
        <w:pStyle w:val="Normal"/>
        <w:ind w:firstLine="851"/>
        <w:jc w:val="both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  <w:t>Logo, diante dos argumentos da candidata e dos critérios de correção, não há razão para reformar a nota conferida na questão 1.</w:t>
      </w:r>
    </w:p>
    <w:p>
      <w:pPr>
        <w:pStyle w:val="Normal"/>
        <w:ind w:firstLine="851"/>
        <w:jc w:val="both"/>
        <w:rPr>
          <w:rFonts w:eastAsia="Times New Roman" w:cs="Calibri" w:cstheme="minorHAnsi"/>
        </w:rPr>
      </w:pPr>
      <w:r>
        <w:rPr>
          <w:rFonts w:eastAsia="Times New Roman" w:cs="Calibri" w:cstheme="minorHAnsi"/>
          <w:b/>
        </w:rPr>
        <w:t>Quanto à questão 02</w:t>
      </w:r>
      <w:r>
        <w:rPr>
          <w:rFonts w:eastAsia="Times New Roman" w:cs="Calibri" w:cstheme="minorHAnsi"/>
        </w:rPr>
        <w:t>, alegou , em síntese, que: a) Não entendeu não ser viável usucapião porque a questão não informava se o interessado tinha todos os documentos; b) Não seria cabível usucapião extrajudicial porque a área do imóvel era maior que 250 metros quadrados. Assim, requereu a reforma da nota por entender que sua resposta à questão estava completamente certa.</w:t>
      </w:r>
    </w:p>
    <w:p>
      <w:pPr>
        <w:pStyle w:val="Normal"/>
        <w:ind w:firstLine="851"/>
        <w:jc w:val="both"/>
        <w:rPr>
          <w:rFonts w:eastAsia="Times New Roman" w:cs="Calibri" w:cstheme="minorHAnsi"/>
          <w:i/>
          <w:i/>
          <w:iCs/>
        </w:rPr>
      </w:pPr>
      <w:r>
        <w:rPr>
          <w:rFonts w:eastAsia="Times New Roman" w:cs="Calibri" w:cstheme="minorHAnsi"/>
        </w:rPr>
        <w:t xml:space="preserve">Para analisar o recurso, é preciso dizer que a banca examinadora fundamentou a nota através dos seguintes critérios: </w:t>
      </w:r>
      <w:r>
        <w:rPr>
          <w:rFonts w:eastAsia="Times New Roman" w:cs="Calibri" w:cstheme="minorHAnsi"/>
          <w:i/>
          <w:iCs/>
        </w:rPr>
        <w:t>“A candidata seguiu o número de linhas previstas no edital (1,00). Em relação ao conhecimento técnico, A candidata foi bastante superficial não esgotando o debate jurídico sobre o tema. A candidata entende que é cabível a usucapião judicial, entretanto a melhor resposta seria a usucapião extrajudicial por ser mais célere para o interessado. A resposta ainda pecou por não estar completa, principalmente, acerca do debate sobre o domínio do imóvel por parte do Município. Assim, como a resposta não está completa e existir conclusão equivocada, a nota do terceiro quesito avaliativo é (3,00). A candidata pecou na fluência do texto, eis que utilizou uma estrutura redacional sem parágrafos e sem a separação quando da mudança de assunto relevante da discussão (1,00). Quanto ao uso correto do vernáculo, a candidata não cometeu erro grave (1,00). Quanto ao critério da escrita legível e inteligível, a candidata perdeu meio ponto porque escreve exageradamente em períodos longos, o que dificulta a boa compreensão do texto (0,5). TOTAL 6,5”</w:t>
      </w:r>
    </w:p>
    <w:p>
      <w:pPr>
        <w:pStyle w:val="Normal"/>
        <w:ind w:firstLine="851"/>
        <w:jc w:val="both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  <w:t>Vale destacar que a candidata entendeu não ser cabível usucapião extrajudicial e isso levaria o assistido da Defensoria a ter grande prejuízo jurídico. Além disso, a candidata não fez um debate sobre o domínio do imóvel em relação ao Município.</w:t>
      </w:r>
    </w:p>
    <w:p>
      <w:pPr>
        <w:pStyle w:val="Normal"/>
        <w:ind w:firstLine="851"/>
        <w:jc w:val="both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  <w:t>Assim, diante dos argumentos da candidata e dos critérios de correção, não há razão para reformar a nota conferida na questão 2. Dessa forma, não resta dúvida de que a nota deve ser mantida.</w:t>
      </w:r>
    </w:p>
    <w:p>
      <w:pPr>
        <w:pStyle w:val="Normal"/>
        <w:ind w:firstLine="851"/>
        <w:jc w:val="both"/>
        <w:rPr>
          <w:rFonts w:eastAsia="Times New Roman" w:cs="Calibri" w:cstheme="minorHAnsi"/>
        </w:rPr>
      </w:pPr>
      <w:r>
        <w:rPr>
          <w:rFonts w:eastAsia="Times New Roman" w:cs="Calibri" w:cstheme="minorHAnsi"/>
          <w:b/>
        </w:rPr>
        <w:t>Sobre a questão 04,</w:t>
      </w:r>
      <w:r>
        <w:rPr>
          <w:rFonts w:eastAsia="Times New Roman" w:cs="Calibri" w:cstheme="minorHAnsi"/>
        </w:rPr>
        <w:t xml:space="preserve"> a candidata argumentou, em resumo, que o INDULTO era medida adequada para   solucionar o problema descrito. Acrescentou, inclusive, que era até melhor para o sujeito constitucional que seria destinatário da medida, tal porque se tratava de extinção da punibilidade.</w:t>
      </w:r>
    </w:p>
    <w:p>
      <w:pPr>
        <w:pStyle w:val="Normal"/>
        <w:ind w:firstLine="851"/>
        <w:jc w:val="both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  <w:t>Mas, em relação à ressalva do indulto que, aliás, a candidata usou como ilustração, o decreto 10.189/2019 enfrenta a questão da ressalva referente à hediondez como sendo inconstitucional, logo inválida.</w:t>
      </w:r>
    </w:p>
    <w:p>
      <w:pPr>
        <w:pStyle w:val="Normal"/>
        <w:ind w:firstLine="851"/>
        <w:jc w:val="both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  <w:t xml:space="preserve">Bem! Sobre a medida, reitera-se que a Prisão Domiciliar é a resposta correta porque pode até não ser a única para o defensor que pretenda caminhos mais criativos, mas é a mais adequada porque o caminho para a solução deve ser o mais curto possível.  </w:t>
      </w:r>
    </w:p>
    <w:p>
      <w:pPr>
        <w:pStyle w:val="Normal"/>
        <w:ind w:firstLine="851"/>
        <w:jc w:val="both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  <w:t>E sobre o INDULTO, não é a solução porque: a) É ato discricionário do presidente da república, portanto, a ressalva seria legítima ainda que constitucionalmente não prevista como limite de tal discricionariedade na CR, por outro lado ressoa da racionalidade do pacto de nação; b) Não fosse, em si, legitimada pela própria discricionariedade, o STF, quando julgou a ADIN referente ao decreto 9.246/2017, ratificou a etiqueta da hediondez, inclusive, como um dos poucos limites a tal discricionariedade, logo a ressalva está alinhada à racionalidade constitucional; c) O artigo 5° inciso XLIII, embora não tenha imposto a hediondez como limite expresso à referida discricionariedade, a racionalidade extraída do limite expresso em relação à graça e anistia permite tal juízo; d) As respostas anteriores, não servem apenas a denotar a impossibilidade, ou a inutilidade de se discutir a constitucionalidade da ressalva, quanto mais ainda a denotar o longo caminho para a solução de um caso concreto que exige urgência; e) É possível assegurar que na atuação concreta da Defensoria, jamais um defensor, ou defensora proporia Indulto como medida para a solução do problema proposto, uma vez a pessoa condenada tenha sido por crime etiquetado como hediondo, pois embora não se trate o INDULTO de instrumento imune ao controle jurisdicional, a resposta do STF a ADIN referida denota o juízo de que a hediondez é limite a tal discricionariedade tal com base na racionalidade constitucional. Em suma: entre uma solução óbvia, afirmada jurisprudencialmente e alinhada, obviamente, à racionalidade constitucional e outra, cujo caminho não só mais longo seja, quanto desalinhado dessa racionalidade, qual deve ser escolhida? f) Finalmente, os crimes hediondos, previstos na lei 8072/1990 são além de inafiançáveis, insuscetíveis de graça, anistia ou indulto, exceção por firmeza jurisprudencial ás condenações por tráfico privilegiado, exatamente, porque, noutras palavras, esses superam a referida etiqueta.</w:t>
      </w:r>
    </w:p>
    <w:p>
      <w:pPr>
        <w:pStyle w:val="Normal"/>
        <w:spacing w:before="0" w:after="160"/>
        <w:ind w:firstLine="851"/>
        <w:contextualSpacing/>
        <w:jc w:val="both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  <w:t>Considerando, portanto, os argumentos acima, nenhum reparo merece a nota 6,0 atribuída à resposta dada à questão 04.</w:t>
      </w:r>
    </w:p>
    <w:p>
      <w:pPr>
        <w:pStyle w:val="Normal"/>
        <w:spacing w:before="0" w:after="160"/>
        <w:ind w:left="720" w:hanging="0"/>
        <w:contextualSpacing/>
        <w:jc w:val="both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</w:r>
    </w:p>
    <w:p>
      <w:pPr>
        <w:pStyle w:val="Normal"/>
        <w:ind w:firstLine="851"/>
        <w:jc w:val="both"/>
        <w:rPr>
          <w:rFonts w:eastAsia="" w:cs="Calibri" w:cstheme="minorHAnsi" w:eastAsiaTheme="minorEastAsia"/>
          <w:lang w:eastAsia="pt-BR"/>
        </w:rPr>
      </w:pPr>
      <w:r>
        <w:rPr>
          <w:rFonts w:eastAsia="" w:cs="Calibri" w:cstheme="minorHAnsi" w:eastAsiaTheme="minorEastAsia"/>
          <w:lang w:eastAsia="pt-BR"/>
        </w:rPr>
        <w:t>Isto posto, a Comissão nega provimento ao recurso e mantém as notas atribuídas às questões 1, 2 e 4.</w:t>
      </w:r>
    </w:p>
    <w:p>
      <w:pPr>
        <w:pStyle w:val="Normal"/>
        <w:jc w:val="both"/>
        <w:rPr>
          <w:rFonts w:eastAsia="" w:cs="Calibri" w:cstheme="minorHAnsi" w:eastAsiaTheme="minorEastAsia"/>
          <w:lang w:eastAsia="pt-BR"/>
        </w:rPr>
      </w:pPr>
      <w:r>
        <w:rPr>
          <w:rFonts w:eastAsia="" w:cs="Calibri" w:cstheme="minorHAnsi" w:eastAsiaTheme="minorEastAsia"/>
          <w:lang w:eastAsia="pt-BR"/>
        </w:rPr>
        <w:t xml:space="preserve">                                                                                                       </w:t>
      </w:r>
      <w:r>
        <w:rPr>
          <w:rFonts w:eastAsia="" w:cs="Calibri" w:cstheme="minorHAnsi" w:eastAsiaTheme="minorEastAsia"/>
          <w:lang w:eastAsia="pt-BR"/>
        </w:rPr>
        <w:t>Timon, 29 de março de 2021.</w:t>
      </w:r>
    </w:p>
    <w:p>
      <w:pPr>
        <w:pStyle w:val="Normal"/>
        <w:jc w:val="both"/>
        <w:rPr>
          <w:rFonts w:eastAsia="" w:cs="Calibri" w:cstheme="minorHAnsi" w:eastAsiaTheme="minorEastAsia"/>
          <w:lang w:eastAsia="pt-BR"/>
        </w:rPr>
      </w:pPr>
      <w:r>
        <w:rPr>
          <w:rFonts w:eastAsia="" w:cs="Calibri" w:cstheme="minorHAnsi" w:eastAsiaTheme="minorEastAsia"/>
          <w:lang w:eastAsia="pt-BR"/>
        </w:rPr>
      </w:r>
    </w:p>
    <w:p>
      <w:pPr>
        <w:pStyle w:val="Corpodotexto"/>
        <w:spacing w:before="7" w:after="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ListParagraph"/>
        <w:tabs>
          <w:tab w:val="clear" w:pos="708"/>
          <w:tab w:val="left" w:pos="689" w:leader="none"/>
        </w:tabs>
        <w:spacing w:lineRule="auto" w:line="247"/>
        <w:ind w:left="720" w:right="112" w:hanging="0"/>
        <w:rPr>
          <w:rFonts w:cs="Calibri" w:cstheme="minorHAnsi"/>
        </w:rPr>
      </w:pPr>
      <w:r>
        <w:rPr>
          <w:rFonts w:cs="Calibri" w:cstheme="minorHAnsi"/>
        </w:rPr>
        <w:t xml:space="preserve">                                                    </w:t>
      </w:r>
      <w:r>
        <w:rPr>
          <w:rFonts w:cs="Calibri" w:cstheme="minorHAnsi"/>
        </w:rPr>
        <w:t>Creuza Maria Lopes</w:t>
      </w:r>
    </w:p>
    <w:p>
      <w:pPr>
        <w:pStyle w:val="Corpodotexto"/>
        <w:spacing w:lineRule="auto" w:line="247"/>
        <w:ind w:right="497" w:hanging="0"/>
        <w:jc w:val="center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Defensora Pública/Presidente da Comissão</w:t>
      </w:r>
    </w:p>
    <w:p>
      <w:pPr>
        <w:pStyle w:val="Corpodotexto"/>
        <w:spacing w:lineRule="auto" w:line="247"/>
        <w:ind w:right="497" w:hanging="0"/>
        <w:jc w:val="center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Corpodotexto"/>
        <w:spacing w:lineRule="auto" w:line="247"/>
        <w:ind w:right="497" w:hanging="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Corpodotexto"/>
        <w:spacing w:lineRule="auto" w:line="247"/>
        <w:ind w:right="497" w:hanging="0"/>
        <w:jc w:val="center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Maria Jeanete Fortes Silva</w:t>
      </w:r>
    </w:p>
    <w:p>
      <w:pPr>
        <w:pStyle w:val="Corpodotexto"/>
        <w:spacing w:lineRule="auto" w:line="247"/>
        <w:ind w:right="497" w:hanging="0"/>
        <w:jc w:val="center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Defensora Pública/Vice-Presidente da Comissão</w:t>
      </w:r>
    </w:p>
    <w:p>
      <w:pPr>
        <w:pStyle w:val="Corpodotexto"/>
        <w:spacing w:lineRule="auto" w:line="247"/>
        <w:ind w:right="497" w:hanging="0"/>
        <w:jc w:val="center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Corpodotexto"/>
        <w:spacing w:lineRule="auto" w:line="247"/>
        <w:ind w:right="497" w:hanging="0"/>
        <w:jc w:val="center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Corpodotexto"/>
        <w:spacing w:lineRule="auto" w:line="247"/>
        <w:ind w:right="497" w:hanging="0"/>
        <w:jc w:val="center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Ricardo Luís de Almeida Teixeira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76" w:before="94" w:after="0"/>
        <w:ind w:left="-142" w:right="195" w:hanging="20"/>
        <w:jc w:val="center"/>
        <w:outlineLvl w:val="0"/>
        <w:rPr>
          <w:rFonts w:cs="Calibri" w:cstheme="minorHAnsi"/>
        </w:rPr>
      </w:pPr>
      <w:r>
        <w:rPr>
          <w:rFonts w:cs="Calibri" w:cstheme="minorHAnsi"/>
        </w:rPr>
        <w:t>Defensor Público/Secretário da Comissão</w:t>
      </w:r>
    </w:p>
    <w:p>
      <w:pPr>
        <w:pStyle w:val="Normal"/>
        <w:jc w:val="both"/>
        <w:rPr>
          <w:rFonts w:eastAsia="" w:cs="Calibri" w:cstheme="minorHAnsi" w:eastAsiaTheme="minorEastAsia"/>
          <w:lang w:eastAsia="pt-BR"/>
        </w:rPr>
      </w:pPr>
      <w:r>
        <w:rPr>
          <w:rFonts w:eastAsia="" w:cs="Calibri" w:cstheme="minorHAnsi" w:eastAsiaTheme="minorEastAsia"/>
          <w:lang w:eastAsia="pt-BR"/>
        </w:rPr>
      </w:r>
    </w:p>
    <w:p>
      <w:pPr>
        <w:pStyle w:val="Normal"/>
        <w:jc w:val="both"/>
        <w:rPr>
          <w:rFonts w:eastAsia="" w:cs="Calibri" w:cstheme="minorHAnsi" w:eastAsiaTheme="minorEastAsia"/>
          <w:lang w:eastAsia="pt-BR"/>
        </w:rPr>
      </w:pPr>
      <w:r>
        <w:rPr>
          <w:rFonts w:eastAsia="" w:cs="Calibri" w:cstheme="minorHAnsi" w:eastAsiaTheme="minorEastAsia"/>
          <w:lang w:eastAsia="pt-BR"/>
        </w:rPr>
      </w:r>
    </w:p>
    <w:p>
      <w:pPr>
        <w:pStyle w:val="Normal"/>
        <w:jc w:val="both"/>
        <w:rPr>
          <w:rFonts w:eastAsia="" w:cs="Calibri" w:cstheme="minorHAnsi" w:eastAsiaTheme="minorEastAsia"/>
          <w:lang w:eastAsia="pt-BR"/>
        </w:rPr>
      </w:pPr>
      <w:r>
        <w:rPr>
          <w:rFonts w:eastAsia="" w:cs="Calibri" w:cstheme="minorHAnsi" w:eastAsiaTheme="minorEastAsia"/>
          <w:lang w:eastAsia="pt-BR"/>
        </w:rPr>
      </w:r>
    </w:p>
    <w:p>
      <w:pPr>
        <w:pStyle w:val="Normal"/>
        <w:jc w:val="both"/>
        <w:rPr>
          <w:rFonts w:eastAsia="" w:cs="Calibri" w:cstheme="minorHAnsi" w:eastAsiaTheme="minorEastAsia"/>
          <w:lang w:eastAsia="pt-BR"/>
        </w:rPr>
      </w:pPr>
      <w:r>
        <w:rPr>
          <w:rFonts w:eastAsia="" w:cs="Calibri" w:cstheme="minorHAnsi" w:eastAsiaTheme="minorEastAsia"/>
          <w:lang w:eastAsia="pt-BR"/>
        </w:rPr>
      </w:r>
    </w:p>
    <w:p>
      <w:pPr>
        <w:pStyle w:val="Normal"/>
        <w:jc w:val="both"/>
        <w:rPr>
          <w:rFonts w:eastAsia="" w:cs="Calibri" w:cstheme="minorHAnsi" w:eastAsiaTheme="minorEastAsia"/>
          <w:lang w:eastAsia="pt-BR"/>
        </w:rPr>
      </w:pPr>
      <w:r>
        <w:rPr>
          <w:rFonts w:eastAsia="" w:cs="Calibri" w:cstheme="minorHAnsi" w:eastAsiaTheme="minorEastAsia"/>
          <w:lang w:eastAsia="pt-BR"/>
        </w:rPr>
      </w:r>
    </w:p>
    <w:p>
      <w:pPr>
        <w:pStyle w:val="Normal"/>
        <w:jc w:val="center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</w:r>
    </w:p>
    <w:p>
      <w:pPr>
        <w:pStyle w:val="Normal"/>
        <w:jc w:val="center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</w:r>
    </w:p>
    <w:p>
      <w:pPr>
        <w:pStyle w:val="Normal"/>
        <w:jc w:val="center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</w:r>
    </w:p>
    <w:p>
      <w:pPr>
        <w:pStyle w:val="Normal"/>
        <w:jc w:val="center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  <w:t>ANEXO II</w:t>
      </w:r>
    </w:p>
    <w:p>
      <w:pPr>
        <w:pStyle w:val="Normal"/>
        <w:jc w:val="both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</w:r>
    </w:p>
    <w:p>
      <w:pPr>
        <w:pStyle w:val="Normal"/>
        <w:jc w:val="both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  <w:t>RECORRENTE/CANDIDATA: Luara da Fonseca Barros</w:t>
      </w:r>
    </w:p>
    <w:p>
      <w:pPr>
        <w:pStyle w:val="Normal"/>
        <w:jc w:val="both"/>
        <w:rPr>
          <w:rFonts w:eastAsia="Times New Roman" w:cs="Calibri" w:cstheme="minorHAnsi"/>
          <w:b/>
          <w:b/>
        </w:rPr>
      </w:pPr>
      <w:r>
        <w:rPr>
          <w:rFonts w:eastAsia="Times New Roman" w:cs="Calibri" w:cstheme="minorHAnsi"/>
          <w:b/>
        </w:rPr>
        <w:t>ANÁLISE DO RECURSO</w:t>
      </w:r>
    </w:p>
    <w:p>
      <w:pPr>
        <w:pStyle w:val="Normal"/>
        <w:jc w:val="both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</w:r>
    </w:p>
    <w:p>
      <w:pPr>
        <w:pStyle w:val="Normal"/>
        <w:ind w:firstLine="851"/>
        <w:jc w:val="both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  <w:t>A candidata recorreu das questões 02 e 04 da prova escrita do processo seletivo para estágio forense, realizada no dia 12 de março de 2021.</w:t>
      </w:r>
    </w:p>
    <w:p>
      <w:pPr>
        <w:pStyle w:val="Normal"/>
        <w:ind w:firstLine="851"/>
        <w:jc w:val="both"/>
        <w:rPr>
          <w:rFonts w:eastAsia="Times New Roman" w:cs="Calibri" w:cstheme="minorHAnsi"/>
        </w:rPr>
      </w:pPr>
      <w:r>
        <w:rPr>
          <w:rFonts w:eastAsia="Times New Roman" w:cs="Calibri" w:cstheme="minorHAnsi"/>
          <w:b/>
        </w:rPr>
        <w:t>Acerca da questão 02,</w:t>
      </w:r>
      <w:r>
        <w:rPr>
          <w:rFonts w:eastAsia="Times New Roman" w:cs="Calibri" w:cstheme="minorHAnsi"/>
        </w:rPr>
        <w:t xml:space="preserve"> alegou, em resumo, que: a) Seria possível regularizar pela CDRU; b) Que entendeu ser possível regularizar pela usucapião extrajudicial. Assim, requereu a reforma da nota por entender que a resposta da questão estava completamente correta.</w:t>
      </w:r>
    </w:p>
    <w:p>
      <w:pPr>
        <w:pStyle w:val="Normal"/>
        <w:ind w:firstLine="851"/>
        <w:jc w:val="both"/>
        <w:rPr>
          <w:rFonts w:eastAsia="Times New Roman" w:cs="Calibri" w:cstheme="minorHAnsi"/>
          <w:i/>
          <w:i/>
          <w:iCs/>
        </w:rPr>
      </w:pPr>
      <w:r>
        <w:rPr>
          <w:rFonts w:eastAsia="Times New Roman" w:cs="Calibri" w:cstheme="minorHAnsi"/>
        </w:rPr>
        <w:t xml:space="preserve">A banca examinadora fundamentou a nota através dos seguintes critérios: </w:t>
      </w:r>
      <w:r>
        <w:rPr>
          <w:rFonts w:eastAsia="Times New Roman" w:cs="Calibri" w:cstheme="minorHAnsi"/>
          <w:i/>
          <w:iCs/>
        </w:rPr>
        <w:t>“A candidata seguiu o número de linhas previstas no edital (1,00). Em relação ao conhecimento técnico, A candidata foi bastante superficial não esgotando o debate jurídico sobre o tema. A candidata praticamente não debateu sobre o domínio do município sobre o bem. Assim, como a resposta não está completa e há omissão de uma das perguntas feitas à candidata, a nota do terceiro quesito avaliativo é (3,50). A candidata pecou na fluência do texto, eis que utilizou uma estrutura redacional sem parágrafos e sem a separação quando da mudança de assunto relevante da discussão (1,00). Quanto ao uso correto do vernáculo, a candidata não cometeu erro grave (1,00). Quanto ao critério da escrita legível e inteligível, a candidata utiliza reiteradamente períodos longos (0,8). TOTAL 7,3”.</w:t>
      </w:r>
    </w:p>
    <w:p>
      <w:pPr>
        <w:pStyle w:val="Normal"/>
        <w:ind w:firstLine="993"/>
        <w:jc w:val="both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  <w:t>Vale destacar que, em tese, seria possível regularizar via CDRU, mas este instrumento seria dependente de ato discricionário da Administração Pública Municipal. Dessa forma, o melhor caminho seria a usucapião extrajudicial. A candidata, todavia, não debateu sobre o domínio do município em relação ao terreno. Ou seja, houve uma grave omissão em relação a uma das perguntas da questão. Além disso, a resposta foi bastante superficial no que ser refere à fundamentação jurídica.</w:t>
      </w:r>
    </w:p>
    <w:p>
      <w:pPr>
        <w:pStyle w:val="Normal"/>
        <w:ind w:firstLine="851"/>
        <w:jc w:val="both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  <w:t>Diante dos argumentos da candidata e dos critérios de correção, não há razão para reformar a nota conferida na questão 2.</w:t>
      </w:r>
    </w:p>
    <w:p>
      <w:pPr>
        <w:pStyle w:val="Normal"/>
        <w:ind w:firstLine="851"/>
        <w:jc w:val="both"/>
        <w:rPr>
          <w:rFonts w:cs="Calibri" w:cstheme="minorHAnsi"/>
          <w:i/>
          <w:i/>
        </w:rPr>
      </w:pPr>
      <w:r>
        <w:rPr>
          <w:rFonts w:cs="Calibri" w:cstheme="minorHAnsi"/>
          <w:b/>
        </w:rPr>
        <w:t>Quanto à questão 04,</w:t>
      </w:r>
      <w:r>
        <w:rPr>
          <w:rFonts w:cs="Calibri" w:cstheme="minorHAnsi"/>
        </w:rPr>
        <w:t xml:space="preserve"> em suma, disse, para efeito de justificar a sua insatisfação, com a nota 6,0 recebida, logo, ao seu juízo, merecendo reparo que (...) </w:t>
      </w:r>
      <w:r>
        <w:rPr>
          <w:rFonts w:cs="Calibri" w:cstheme="minorHAnsi"/>
          <w:i/>
        </w:rPr>
        <w:t xml:space="preserve">“ao analisar o espelho de correção, o “x” da questão seria a possibilidade de concessão da prisão domiciliar, e isso foi citado em minha resposta, inclusive fundamentando e mencionando a regra do artigo 117 da Lei de Execução Penal e sua flexibilização, apontando o que a jurisprudência tem admitido, e citando também a dignidade da pessoa humana </w:t>
      </w:r>
      <w:r>
        <w:rPr>
          <w:rFonts w:cs="Calibri" w:cstheme="minorHAnsi"/>
        </w:rPr>
        <w:t>(...)</w:t>
      </w:r>
      <w:r>
        <w:rPr>
          <w:rFonts w:cs="Calibri" w:cstheme="minorHAnsi"/>
          <w:i/>
        </w:rPr>
        <w:t xml:space="preserve">. </w:t>
      </w:r>
      <w:r>
        <w:rPr>
          <w:rFonts w:cs="Calibri" w:cstheme="minorHAnsi"/>
        </w:rPr>
        <w:t xml:space="preserve">Acrescentou mais ainda: (...) </w:t>
      </w:r>
      <w:r>
        <w:rPr>
          <w:rFonts w:cs="Calibri" w:cstheme="minorHAnsi"/>
          <w:i/>
        </w:rPr>
        <w:t>respondi qual seria a solução a ser apresentada ao caso e citei algumas normas que deveriam ser utilizadas para tanto, conforme solicitado. Ademais, assim como na questão anterior, acredito também terem sido preenchidos o uso correto do vernáculo, bem como escrita legível”</w:t>
      </w:r>
    </w:p>
    <w:p>
      <w:pPr>
        <w:pStyle w:val="Normal"/>
        <w:ind w:firstLine="851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Bem! Exatamente porque a candidata apresentou a solução, além de citar “algumas normas” mereceu a nota 06. E o que deixou de fazer? Primeiro, não respeitou a regra determinada sobre o mínimo de 15 linhas. </w:t>
      </w:r>
    </w:p>
    <w:p>
      <w:pPr>
        <w:pStyle w:val="Normal"/>
        <w:ind w:firstLine="851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Segundo: estava clara a exigência de que a resposta deveria ter argumentos articulados sistemicamente. E a candidata limitou-se a </w:t>
      </w:r>
      <w:r>
        <w:rPr>
          <w:rFonts w:cs="Calibri" w:cstheme="minorHAnsi"/>
          <w:b/>
          <w:u w:val="single"/>
        </w:rPr>
        <w:t>enunciar</w:t>
      </w:r>
      <w:r>
        <w:rPr>
          <w:rFonts w:cs="Calibri" w:cstheme="minorHAnsi"/>
        </w:rPr>
        <w:t xml:space="preserve"> a possibilidade da Prisão domiciliar como medida adequada. E embora tenha referido a Dignidade Humana, não referiu outras normas constitucionais mais   agudas, por exemplo: Individualização da Pena; Proibição de Penas Cruéis; Direito à Vida; à Saúde. Sem falar do fato de que a referência ao artigo 116 da Lei de Execução Penal, de densidade infraconstitucional, também não foi mencionada, limitando-se a repetir o que já estava contido no enunciado da questão, qual seja, o artigo 117 da LEP, aliás, esse enfático no sentido de que a regra nele contida inviabilizava o Regime Domiciliar. Por isso mesmo a resposta demandava interpretação sistêmica enunciada como método para encontrar a solução, articulando normas constitucionais, instrumentais para a proteção à vida e à saúde e o artigo 116 da LEP que impõe ao juízo o dever de adequar as penas às circunstâncias. Diante do exposto, a nota não merece ser reformada.</w:t>
      </w:r>
    </w:p>
    <w:p>
      <w:pPr>
        <w:pStyle w:val="Normal"/>
        <w:ind w:firstLine="851"/>
        <w:jc w:val="both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  <w:t>Ante o exposto, a Comissão nega provimento ao recurso e mantém as notas da candidata nas questões 02 e 04, objetos do recurso.</w:t>
      </w:r>
    </w:p>
    <w:p>
      <w:pPr>
        <w:pStyle w:val="Normal"/>
        <w:ind w:firstLine="851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tabs>
          <w:tab w:val="clear" w:pos="708"/>
          <w:tab w:val="left" w:pos="689" w:leader="none"/>
        </w:tabs>
        <w:spacing w:lineRule="auto" w:line="247"/>
        <w:ind w:left="720" w:right="112" w:hanging="0"/>
        <w:rPr>
          <w:rFonts w:cs="Calibri" w:cstheme="minorHAnsi"/>
        </w:rPr>
      </w:pPr>
      <w:r>
        <w:rPr>
          <w:rFonts w:cs="Calibri" w:cstheme="minorHAnsi"/>
        </w:rPr>
        <w:t xml:space="preserve">                                     </w:t>
      </w:r>
      <w:r>
        <w:rPr>
          <w:rFonts w:cs="Calibri" w:cstheme="minorHAnsi"/>
        </w:rPr>
        <w:t>Timon, 29 de março de 2021.</w:t>
      </w:r>
    </w:p>
    <w:p>
      <w:pPr>
        <w:pStyle w:val="ListParagraph"/>
        <w:tabs>
          <w:tab w:val="clear" w:pos="708"/>
          <w:tab w:val="left" w:pos="689" w:leader="none"/>
        </w:tabs>
        <w:spacing w:lineRule="auto" w:line="247"/>
        <w:ind w:left="720" w:right="112" w:hanging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tabs>
          <w:tab w:val="clear" w:pos="708"/>
          <w:tab w:val="left" w:pos="689" w:leader="none"/>
        </w:tabs>
        <w:spacing w:lineRule="auto" w:line="247"/>
        <w:ind w:left="720" w:right="112" w:hanging="0"/>
        <w:rPr>
          <w:rFonts w:cs="Calibri" w:cstheme="minorHAnsi"/>
        </w:rPr>
      </w:pPr>
      <w:r>
        <w:rPr>
          <w:rFonts w:cs="Calibri" w:cstheme="minorHAnsi"/>
        </w:rPr>
        <w:t xml:space="preserve">                                            </w:t>
      </w:r>
    </w:p>
    <w:p>
      <w:pPr>
        <w:pStyle w:val="ListParagraph"/>
        <w:tabs>
          <w:tab w:val="clear" w:pos="708"/>
          <w:tab w:val="left" w:pos="689" w:leader="none"/>
        </w:tabs>
        <w:spacing w:lineRule="auto" w:line="247"/>
        <w:ind w:left="720" w:right="112" w:hanging="0"/>
        <w:rPr>
          <w:rFonts w:cs="Calibri" w:cstheme="minorHAnsi"/>
        </w:rPr>
      </w:pPr>
      <w:r>
        <w:rPr>
          <w:rFonts w:cs="Calibri" w:cstheme="minorHAnsi"/>
        </w:rPr>
        <w:t xml:space="preserve">                                               </w:t>
      </w:r>
      <w:r>
        <w:rPr>
          <w:rFonts w:cs="Calibri" w:cstheme="minorHAnsi"/>
        </w:rPr>
        <w:t>Creuza Maria Lopes</w:t>
      </w:r>
    </w:p>
    <w:p>
      <w:pPr>
        <w:pStyle w:val="Corpodotexto"/>
        <w:spacing w:lineRule="auto" w:line="247"/>
        <w:ind w:right="497" w:hanging="0"/>
        <w:jc w:val="center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Defensora Pública/Presidente da Comissão</w:t>
      </w:r>
    </w:p>
    <w:p>
      <w:pPr>
        <w:pStyle w:val="Corpodotexto"/>
        <w:spacing w:lineRule="auto" w:line="247"/>
        <w:ind w:right="497" w:hanging="0"/>
        <w:jc w:val="center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Corpodotexto"/>
        <w:spacing w:lineRule="auto" w:line="247"/>
        <w:ind w:right="497" w:hanging="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Corpodotexto"/>
        <w:spacing w:lineRule="auto" w:line="247"/>
        <w:ind w:right="497" w:hanging="0"/>
        <w:jc w:val="center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Maria Jeanete Fortes Silva</w:t>
      </w:r>
    </w:p>
    <w:p>
      <w:pPr>
        <w:pStyle w:val="Corpodotexto"/>
        <w:spacing w:lineRule="auto" w:line="247"/>
        <w:ind w:right="497" w:hanging="0"/>
        <w:jc w:val="center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Defensora Pública/Vice-Presidente da Comissão</w:t>
      </w:r>
    </w:p>
    <w:p>
      <w:pPr>
        <w:pStyle w:val="Corpodotexto"/>
        <w:spacing w:lineRule="auto" w:line="247"/>
        <w:ind w:right="497" w:hanging="0"/>
        <w:jc w:val="center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Corpodotexto"/>
        <w:spacing w:lineRule="auto" w:line="247"/>
        <w:ind w:right="497" w:hanging="0"/>
        <w:jc w:val="center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Corpodotexto"/>
        <w:spacing w:lineRule="auto" w:line="247"/>
        <w:ind w:right="497" w:hanging="0"/>
        <w:jc w:val="center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Ricardo Luís de Almeida Teixeira</w:t>
      </w:r>
    </w:p>
    <w:p>
      <w:pPr>
        <w:pStyle w:val="Corpodotexto"/>
        <w:spacing w:lineRule="auto" w:line="247"/>
        <w:ind w:right="497" w:hanging="0"/>
        <w:jc w:val="center"/>
        <w:rPr/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Defenso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r Público/Secretário da Comissão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ANEXO III</w:t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rFonts w:eastAsia="" w:cs="Calibri" w:cstheme="minorHAnsi" w:eastAsiaTheme="minorEastAsia"/>
          <w:lang w:eastAsia="pt-BR"/>
        </w:rPr>
      </w:pPr>
      <w:r>
        <w:rPr>
          <w:rFonts w:eastAsia="" w:cs="Calibri" w:cstheme="minorHAnsi" w:eastAsiaTheme="minorEastAsia"/>
          <w:lang w:eastAsia="pt-BR"/>
        </w:rPr>
        <w:t>RECORRENTE/CANDIDATA – Milana de Castro Chaves</w:t>
      </w:r>
    </w:p>
    <w:p>
      <w:pPr>
        <w:pStyle w:val="Normal"/>
        <w:jc w:val="both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  <w:t>ANÁLISE DO RECURSO</w:t>
      </w:r>
    </w:p>
    <w:p>
      <w:pPr>
        <w:pStyle w:val="Normal"/>
        <w:jc w:val="both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</w:r>
    </w:p>
    <w:p>
      <w:pPr>
        <w:pStyle w:val="Normal"/>
        <w:jc w:val="both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  <w:t>A candidata recorreu das questões 01, 02 e 03 da prova escrita do processo seletivo para estágio forense, realizada no dia 12 de março de 2021.</w:t>
      </w:r>
    </w:p>
    <w:p>
      <w:pPr>
        <w:pStyle w:val="Normal"/>
        <w:jc w:val="both"/>
        <w:rPr>
          <w:rFonts w:eastAsia="Times New Roman" w:cs="Calibri" w:cstheme="minorHAnsi"/>
          <w:b/>
          <w:b/>
        </w:rPr>
      </w:pPr>
      <w:r>
        <w:rPr>
          <w:rFonts w:eastAsia="Times New Roman" w:cs="Calibri" w:cstheme="minorHAnsi"/>
          <w:b/>
        </w:rPr>
      </w:r>
    </w:p>
    <w:p>
      <w:pPr>
        <w:pStyle w:val="Normal"/>
        <w:ind w:firstLine="1134"/>
        <w:jc w:val="both"/>
        <w:rPr>
          <w:rFonts w:eastAsia="Times New Roman" w:cs="Calibri" w:cstheme="minorHAnsi"/>
        </w:rPr>
      </w:pPr>
      <w:r>
        <w:rPr>
          <w:rFonts w:eastAsia="Times New Roman" w:cs="Calibri" w:cstheme="minorHAnsi"/>
          <w:b/>
        </w:rPr>
        <w:t>Acerca da questão 01,</w:t>
      </w:r>
      <w:r>
        <w:rPr>
          <w:rFonts w:eastAsia="Times New Roman" w:cs="Calibri" w:cstheme="minorHAnsi"/>
        </w:rPr>
        <w:t xml:space="preserve"> alegou, em resumo, que respondeu à questão de acordo com o espelho. Assim, requereu a reforma da nota por entender que a resposta dada à questão estava completamente correta.</w:t>
      </w:r>
    </w:p>
    <w:p>
      <w:pPr>
        <w:pStyle w:val="Normal"/>
        <w:ind w:firstLine="851"/>
        <w:jc w:val="both"/>
        <w:rPr>
          <w:rFonts w:eastAsia="Times New Roman" w:cs="Calibri" w:cstheme="minorHAnsi"/>
          <w:i/>
          <w:i/>
          <w:iCs/>
        </w:rPr>
      </w:pPr>
      <w:r>
        <w:rPr>
          <w:rFonts w:eastAsia="Times New Roman" w:cs="Calibri" w:cstheme="minorHAnsi"/>
        </w:rPr>
        <w:t xml:space="preserve">Para analisar esse item do recurso, é preciso dizer que a banca examinadora fundamentou a nota através dos seguintes critérios: </w:t>
      </w:r>
      <w:r>
        <w:rPr>
          <w:rFonts w:eastAsia="Times New Roman" w:cs="Calibri" w:cstheme="minorHAnsi"/>
          <w:i/>
          <w:iCs/>
        </w:rPr>
        <w:t>“A candidata seguiu o número de linhas previstas no edital (1,00). Em relação ao conhecimento técnico, o candidato fez um debate adequado, mas fundamentou a resposta com o art. 528, § 8º, do CPC. Este dispositivo não se aplica ao caso porque a opção pelo rito é do exequente e não do executado (4,50). A candidata pecou na fluência do texto, eis que utilizou uma estrutura redacional sem parágrafos e sem a separação quando da mudança de assunto relevante da discussão (1,50). Quanto ao uso correto do vernáculo, a candidata não cometeu erro grave (1,00). Quanto ao critério da escrita legível e inteligível, a candidata se saiu bem (1,00). TOTAL 9,00”</w:t>
      </w:r>
    </w:p>
    <w:p>
      <w:pPr>
        <w:pStyle w:val="Normal"/>
        <w:ind w:firstLine="851"/>
        <w:jc w:val="both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  <w:t xml:space="preserve">Vale destacar que a ficha contendo o critério de correção atribuía nota 1 para o número adequado de linhas, nota 5 para o conhecimento técnico, nota 2 para a fluência do texto e redação, nota 1 para uso correto do vernáculo e nota 1 para escrita inteligível e legível. </w:t>
      </w:r>
    </w:p>
    <w:p>
      <w:pPr>
        <w:pStyle w:val="Normal"/>
        <w:ind w:firstLine="851"/>
        <w:jc w:val="both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  <w:t>A candidata perdeu meio ponto no conhecimento jurídico porque usou o art. 528, § 8º, do CPC, este dispositivo não se aplica ao presente caso. A candidata perdeu meio ponto porque escreveu um texto sem separação em parágrafos. Assim, a candidata recebeu uma nota 9. Dessa forma, não há razão para a candidata receber nota máxima.</w:t>
      </w:r>
    </w:p>
    <w:p>
      <w:pPr>
        <w:pStyle w:val="Normal"/>
        <w:ind w:firstLine="851"/>
        <w:jc w:val="both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  <w:t>Diante dos argumentos da candidata e dos critérios de correção, não há razão para reformar a nota conferida na questão 01.</w:t>
      </w:r>
    </w:p>
    <w:p>
      <w:pPr>
        <w:pStyle w:val="Normal"/>
        <w:ind w:firstLine="567"/>
        <w:jc w:val="both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</w:r>
    </w:p>
    <w:p>
      <w:pPr>
        <w:pStyle w:val="Normal"/>
        <w:ind w:firstLine="851"/>
        <w:jc w:val="both"/>
        <w:rPr>
          <w:rFonts w:eastAsia="Times New Roman" w:cs="Calibri" w:cstheme="minorHAnsi"/>
        </w:rPr>
      </w:pPr>
      <w:r>
        <w:rPr>
          <w:rFonts w:eastAsia="Times New Roman" w:cs="Calibri" w:cstheme="minorHAnsi"/>
          <w:b/>
        </w:rPr>
        <w:t>Quanto à questão 02,</w:t>
      </w:r>
      <w:r>
        <w:rPr>
          <w:rFonts w:eastAsia="Times New Roman" w:cs="Calibri" w:cstheme="minorHAnsi"/>
        </w:rPr>
        <w:t xml:space="preserve"> a candidata alegou, em resumo, que respondeu à questão de acordo com o espelho da prova. E requereu a reforma da nota por entender que a questão estava completamente certa.</w:t>
      </w:r>
    </w:p>
    <w:p>
      <w:pPr>
        <w:pStyle w:val="Normal"/>
        <w:ind w:firstLine="851"/>
        <w:jc w:val="both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  <w:t xml:space="preserve">A nota da candidata foi fundamentada nos seguintes critérios: </w:t>
      </w:r>
      <w:r>
        <w:rPr>
          <w:rFonts w:eastAsia="Times New Roman" w:cs="Calibri" w:cstheme="minorHAnsi"/>
          <w:i/>
          <w:iCs/>
        </w:rPr>
        <w:t>“A candidata seguiu o número de linhas previstas no edital (1,00). Em relação ao conhecimento técnico, a candidata não foi feliz. Em primeiro lugar, a candidata não deixou claro ser cabível ou não a usucapião. Em segundo lugar, não caberia falar em resgate no caso da enfiteuse. O correto seria aplicar a pena de comisso para a extinção da enfiteuse. Em terceiro lugar, o domínio de imóvel público não pode ser confundido com a posse (2,50). A candidata pecou na fluência do texto, eis que utilizou uma estrutura redacional sem parágrafos e sem a separação quando da mudança de assunto relevante da discussão (1,50). Quanto ao uso correto do vernáculo, a candidata não cometeu erro grave (1,00). Quanto ao critério da escrita legível e inteligível, a candidata se saiu bem (1,00). TOTAL 7,00”.</w:t>
      </w:r>
    </w:p>
    <w:p>
      <w:pPr>
        <w:pStyle w:val="Normal"/>
        <w:ind w:firstLine="993"/>
        <w:jc w:val="both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  <w:t>Diante dos argumentos da candidata e dos critérios de correção, não há razão para reformar a nota conferida na questão 2.</w:t>
      </w:r>
    </w:p>
    <w:p>
      <w:pPr>
        <w:pStyle w:val="Normal"/>
        <w:ind w:firstLine="851"/>
        <w:jc w:val="both"/>
        <w:rPr>
          <w:rFonts w:eastAsia="" w:cs="Calibri" w:cstheme="minorHAnsi" w:eastAsiaTheme="minorEastAsia"/>
          <w:lang w:eastAsia="pt-BR"/>
        </w:rPr>
      </w:pPr>
      <w:r>
        <w:rPr>
          <w:rFonts w:eastAsia="Times New Roman" w:cs="Calibri" w:cstheme="minorHAnsi"/>
          <w:b/>
        </w:rPr>
        <w:t>Em relação à questão 03,</w:t>
      </w:r>
      <w:r>
        <w:rPr>
          <w:rFonts w:eastAsia="Times New Roman" w:cs="Calibri" w:cstheme="minorHAnsi"/>
        </w:rPr>
        <w:t xml:space="preserve"> a candidata alegou que</w:t>
      </w:r>
      <w:r>
        <w:rPr>
          <w:rFonts w:eastAsia="" w:cs="Calibri" w:cstheme="minorHAnsi" w:eastAsiaTheme="minorEastAsia"/>
          <w:lang w:eastAsia="pt-BR"/>
        </w:rPr>
        <w:t xml:space="preserve"> respondeu à questão conforme o espelho. Assim, requereu que seja atribuída nota máxima.</w:t>
      </w:r>
    </w:p>
    <w:p>
      <w:pPr>
        <w:pStyle w:val="Normal"/>
        <w:ind w:firstLine="851"/>
        <w:jc w:val="both"/>
        <w:rPr>
          <w:rFonts w:eastAsia="" w:cs="Calibri" w:cstheme="minorHAnsi" w:eastAsiaTheme="minorEastAsia"/>
          <w:lang w:eastAsia="pt-BR"/>
        </w:rPr>
      </w:pPr>
      <w:r>
        <w:rPr>
          <w:rFonts w:eastAsia="" w:cs="Calibri" w:cstheme="minorHAnsi" w:eastAsiaTheme="minorEastAsia"/>
          <w:lang w:eastAsia="pt-BR"/>
        </w:rPr>
        <w:t>Na ficha técnica constou 5 itens e pontuações como critérios para correção. A banca examinadora entendeu que a candidata atingiu os objetivos estabelecidos nos itens 1, 3, 4 e 5. Contudo, não atingiu plenamente em relação ao item 2. Como consta no enunciado, seja o réu inocente ou culpado, no processo criminal deve existir a defesa efetiva e não meramente figurativa. A questão, também, indica que no processo criminal podem existir provas concretas que demonstrem ser impossível qualquer tese absolutória, o que não implica, necessariamente, em ausência de defesa ou defesa deficiente. Na sua exposição a candidata não fez constar tal discussão. Também, expôs que defesa efetiva é aquela que contesta realmente as teses acusatórias e contribua para um resultado benéfico ao acusado, tal resposta não deixa claro o dever de agir da defesa se o réu for culpado. Enfim, a defesa efetiva não implica na missão de encontrar teses absurdas e descontextualizada dos autos, mas buscar dentro do processo e de acordo com as provas a solução mais benéfica ao réu. Portanto, não há razão para modificar a nota de 9,0 para 10,0.</w:t>
      </w:r>
    </w:p>
    <w:p>
      <w:pPr>
        <w:pStyle w:val="Normal"/>
        <w:ind w:firstLine="851"/>
        <w:jc w:val="both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  <w:t>Ante o exposto, a comissão nega provimento ao recurso e mantém as notas da candidata nas questões 1, 2 e 3.</w:t>
      </w:r>
    </w:p>
    <w:p>
      <w:pPr>
        <w:pStyle w:val="ListParagraph"/>
        <w:tabs>
          <w:tab w:val="clear" w:pos="708"/>
          <w:tab w:val="left" w:pos="689" w:leader="none"/>
        </w:tabs>
        <w:spacing w:lineRule="auto" w:line="247"/>
        <w:ind w:left="720" w:right="112" w:hanging="0"/>
        <w:rPr>
          <w:rFonts w:cs="Calibri" w:cstheme="minorHAnsi"/>
        </w:rPr>
      </w:pPr>
      <w:r>
        <w:rPr>
          <w:rFonts w:cs="Calibri" w:cstheme="minorHAnsi"/>
        </w:rPr>
        <w:t xml:space="preserve">                                         </w:t>
      </w:r>
      <w:r>
        <w:rPr>
          <w:rFonts w:cs="Calibri" w:cstheme="minorHAnsi"/>
        </w:rPr>
        <w:t>Timon, 29 de março de 2021.</w:t>
      </w:r>
    </w:p>
    <w:p>
      <w:pPr>
        <w:pStyle w:val="ListParagraph"/>
        <w:tabs>
          <w:tab w:val="clear" w:pos="708"/>
          <w:tab w:val="left" w:pos="689" w:leader="none"/>
        </w:tabs>
        <w:spacing w:lineRule="auto" w:line="240"/>
        <w:ind w:left="720" w:right="112" w:hanging="0"/>
        <w:rPr>
          <w:rFonts w:cs="Calibri" w:cstheme="minorHAnsi"/>
        </w:rPr>
      </w:pPr>
      <w:r>
        <w:rPr>
          <w:rFonts w:cs="Calibri" w:cstheme="minorHAnsi"/>
        </w:rPr>
        <w:t xml:space="preserve">                                            </w:t>
      </w:r>
    </w:p>
    <w:p>
      <w:pPr>
        <w:pStyle w:val="ListParagraph"/>
        <w:tabs>
          <w:tab w:val="clear" w:pos="708"/>
          <w:tab w:val="left" w:pos="689" w:leader="none"/>
        </w:tabs>
        <w:spacing w:lineRule="auto" w:line="240"/>
        <w:ind w:left="720" w:right="112" w:hanging="0"/>
        <w:rPr>
          <w:rFonts w:cs="Calibri" w:cstheme="minorHAnsi"/>
        </w:rPr>
      </w:pPr>
      <w:r>
        <w:rPr>
          <w:rFonts w:cs="Calibri" w:cstheme="minorHAnsi"/>
        </w:rPr>
        <w:t xml:space="preserve">                                              </w:t>
      </w:r>
      <w:r>
        <w:rPr>
          <w:rFonts w:cs="Calibri" w:cstheme="minorHAnsi"/>
        </w:rPr>
        <w:t>Creuza Maria Lopes</w:t>
      </w:r>
    </w:p>
    <w:p>
      <w:pPr>
        <w:pStyle w:val="Corpodotexto"/>
        <w:ind w:right="497" w:hanging="0"/>
        <w:jc w:val="center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Defensora Pública/Presidente da Comissão</w:t>
      </w:r>
    </w:p>
    <w:p>
      <w:pPr>
        <w:pStyle w:val="Corpodotexto"/>
        <w:ind w:right="497" w:hanging="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Corpodotexto"/>
        <w:ind w:right="497" w:hanging="0"/>
        <w:jc w:val="center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Maria Jeanete Fortes Silva</w:t>
      </w:r>
    </w:p>
    <w:p>
      <w:pPr>
        <w:pStyle w:val="Corpodotexto"/>
        <w:ind w:right="497" w:hanging="0"/>
        <w:jc w:val="center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Defensora Pública/Vice-Presidente da Comissão</w:t>
      </w:r>
    </w:p>
    <w:p>
      <w:pPr>
        <w:pStyle w:val="Corpodotexto"/>
        <w:ind w:right="497" w:hanging="0"/>
        <w:jc w:val="center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Corpodotexto"/>
        <w:ind w:right="497" w:hanging="0"/>
        <w:jc w:val="center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Ricardo Luís de Almeida Teixeira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94" w:after="0"/>
        <w:ind w:left="-142" w:right="195" w:hanging="20"/>
        <w:jc w:val="center"/>
        <w:outlineLvl w:val="0"/>
        <w:rPr>
          <w:rFonts w:cs="Calibri" w:cstheme="minorHAnsi"/>
        </w:rPr>
      </w:pPr>
      <w:r>
        <w:rPr>
          <w:rFonts w:cs="Calibri" w:cstheme="minorHAnsi"/>
        </w:rPr>
        <w:t>Defensor Público/Secretário da Comissão</w:t>
      </w:r>
    </w:p>
    <w:p>
      <w:pPr>
        <w:pStyle w:val="Normal"/>
        <w:spacing w:lineRule="auto" w:line="24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jc w:val="center"/>
        <w:rPr/>
      </w:pPr>
      <w:r>
        <w:rPr/>
        <w:t>ANEXO IV</w:t>
      </w:r>
    </w:p>
    <w:p>
      <w:pPr>
        <w:pStyle w:val="Normal"/>
        <w:jc w:val="both"/>
        <w:rPr>
          <w:rFonts w:eastAsia="" w:cs="Calibri" w:cstheme="minorHAnsi" w:eastAsiaTheme="minorEastAsia"/>
          <w:sz w:val="24"/>
          <w:szCs w:val="24"/>
          <w:lang w:eastAsia="pt-BR"/>
        </w:rPr>
      </w:pPr>
      <w:r>
        <w:rPr/>
        <w:t>RECORRENTE/CANDIDATA</w:t>
      </w:r>
      <w:r>
        <w:rPr>
          <w:rFonts w:eastAsia="" w:cs="Calibri" w:cstheme="minorHAnsi" w:eastAsiaTheme="minorEastAsia"/>
          <w:sz w:val="24"/>
          <w:szCs w:val="24"/>
          <w:lang w:eastAsia="pt-BR"/>
        </w:rPr>
        <w:t xml:space="preserve"> – Sarah Lopes Araújo</w:t>
      </w:r>
    </w:p>
    <w:p>
      <w:pPr>
        <w:pStyle w:val="Normal"/>
        <w:jc w:val="both"/>
        <w:rPr>
          <w:rFonts w:eastAsia="" w:cs="Calibri" w:cstheme="minorHAnsi" w:eastAsiaTheme="minorEastAsia"/>
          <w:sz w:val="24"/>
          <w:szCs w:val="24"/>
          <w:lang w:eastAsia="pt-BR"/>
        </w:rPr>
      </w:pPr>
      <w:r>
        <w:rPr>
          <w:rFonts w:eastAsia="" w:cs="Calibri" w:cstheme="minorHAnsi" w:eastAsiaTheme="minorEastAsia"/>
          <w:sz w:val="24"/>
          <w:szCs w:val="24"/>
          <w:lang w:eastAsia="pt-BR"/>
        </w:rPr>
        <w:t>ANÁLISE DO RECURSO</w:t>
      </w:r>
    </w:p>
    <w:p>
      <w:pPr>
        <w:pStyle w:val="Normal"/>
        <w:jc w:val="both"/>
        <w:rPr>
          <w:rFonts w:eastAsia="" w:cs="Calibri" w:cstheme="minorHAnsi" w:eastAsiaTheme="minorEastAsia"/>
          <w:sz w:val="24"/>
          <w:szCs w:val="24"/>
          <w:lang w:eastAsia="pt-BR"/>
        </w:rPr>
      </w:pPr>
      <w:r>
        <w:rPr>
          <w:rFonts w:eastAsia="" w:cs="Calibri" w:cstheme="minorHAnsi" w:eastAsiaTheme="minorEastAsia"/>
          <w:sz w:val="24"/>
          <w:szCs w:val="24"/>
          <w:lang w:eastAsia="pt-BR"/>
        </w:rPr>
      </w:r>
    </w:p>
    <w:p>
      <w:pPr>
        <w:pStyle w:val="Normal"/>
        <w:ind w:firstLine="1701"/>
        <w:jc w:val="both"/>
        <w:rPr>
          <w:rFonts w:eastAsia="Times New Roman" w:cs="Calibri" w:cstheme="minorHAnsi"/>
          <w:sz w:val="24"/>
          <w:szCs w:val="24"/>
        </w:rPr>
      </w:pPr>
      <w:r>
        <w:rPr>
          <w:rFonts w:eastAsia="Times New Roman" w:cs="Calibri" w:cstheme="minorHAnsi"/>
          <w:sz w:val="24"/>
          <w:szCs w:val="24"/>
        </w:rPr>
        <w:t>A candidata recorreu das questões 03 e 04 da prova escrita do processo seletivo para estágio forense, realizada no dia 12 de março de 2021.</w:t>
      </w:r>
    </w:p>
    <w:p>
      <w:pPr>
        <w:pStyle w:val="Normal"/>
        <w:ind w:firstLine="1701"/>
        <w:jc w:val="both"/>
        <w:rPr>
          <w:rFonts w:eastAsia="Times New Roman" w:cs="Calibri" w:cstheme="minorHAnsi"/>
          <w:i/>
          <w:i/>
          <w:color w:val="000000"/>
          <w:sz w:val="24"/>
          <w:szCs w:val="24"/>
          <w:lang w:eastAsia="pt-BR"/>
        </w:rPr>
      </w:pPr>
      <w:r>
        <w:rPr>
          <w:rFonts w:eastAsia="" w:cs="Calibri" w:cstheme="minorHAnsi" w:eastAsiaTheme="minorEastAsia"/>
          <w:b/>
          <w:sz w:val="24"/>
          <w:szCs w:val="24"/>
          <w:lang w:eastAsia="pt-BR"/>
        </w:rPr>
        <w:t xml:space="preserve">Acerca da questão </w:t>
      </w:r>
      <w:r>
        <w:rPr>
          <w:rFonts w:eastAsia="Times New Roman" w:cs="Calibri" w:cstheme="minorHAnsi"/>
          <w:b/>
          <w:color w:val="000000"/>
          <w:sz w:val="24"/>
          <w:szCs w:val="24"/>
          <w:lang w:eastAsia="pt-BR"/>
        </w:rPr>
        <w:t>03,</w:t>
      </w:r>
      <w:r>
        <w:rPr>
          <w:rFonts w:eastAsia="Times New Roman" w:cs="Calibri" w:cstheme="minorHAnsi"/>
          <w:color w:val="000000"/>
          <w:sz w:val="24"/>
          <w:szCs w:val="24"/>
          <w:lang w:eastAsia="pt-BR"/>
        </w:rPr>
        <w:t xml:space="preserve"> a candidata alega: </w:t>
      </w:r>
      <w:r>
        <w:rPr>
          <w:rFonts w:eastAsia="Times New Roman" w:cs="Calibri" w:cstheme="minorHAnsi"/>
          <w:i/>
          <w:color w:val="000000"/>
          <w:sz w:val="24"/>
          <w:szCs w:val="24"/>
          <w:lang w:eastAsia="pt-BR"/>
        </w:rPr>
        <w:t>“Na minha resposta, enumerei os seguintes deveres: "garantir que o réu seja ouvido e suas alegações influenciem a formação da convicção do juiz, apresentar provas que possam favorecer o acusado, garantir a integridade física do réu, seu direito ao silêncio e direito a realização da audiência de custódia caso haja prisão". Considerando que o espelho fornecido traz a expressão "outros, observada a lógica", acredito que os motivos enumerados em minha resposta se encaixam perfeitamente ao pedido pela questão, merecendo portanto, a nota completa. Ademais, o espelho traz as expressões "solução jurídica ou humanamente mais justa" e "fiscalizar o respeito a ordem processual", que podem ser alcançadas através dos deveres "garantir que o réu seja ouvido, seu direito ao silêncio e realização da audiência de custódia" acima mencionados em minha resposta.”</w:t>
      </w:r>
    </w:p>
    <w:p>
      <w:pPr>
        <w:pStyle w:val="Normal"/>
        <w:ind w:firstLine="1701"/>
        <w:jc w:val="both"/>
        <w:rPr>
          <w:rFonts w:eastAsia="" w:cs="Calibri" w:cstheme="minorHAnsi" w:eastAsiaTheme="minorEastAsia"/>
          <w:sz w:val="24"/>
          <w:szCs w:val="24"/>
          <w:lang w:eastAsia="pt-BR"/>
        </w:rPr>
      </w:pPr>
      <w:r>
        <w:rPr>
          <w:rFonts w:eastAsia="" w:cs="Calibri" w:cstheme="minorHAnsi" w:eastAsiaTheme="minorEastAsia"/>
          <w:sz w:val="24"/>
          <w:szCs w:val="24"/>
          <w:lang w:eastAsia="pt-BR"/>
        </w:rPr>
        <w:t>Para a correção a banca examinadora levou em conta os critérios e pontuações fixados na ficha técnica. Em relação aos itens 1,3, 4 e 5 da referida ficha,  a banca entendeu que a candidata preencheu os objetivos, o mesmo não aconteceu em relação ao grau de conhecimento técnico jurídico (item 2). Como consta no enunciado da questão, seja o réu inocente ou culpado, a defesa deve ser efetiva. Em que pese a candidata, ter discorrido sobre ampla defesa,  ela não apresentou nenhuma discussão sobre defesa efetiva, nem trouxe elementos que revelasse o que diferencia defesa efetiva de defesa meramente figurativa. Quanto aos deveres, garantir que o réu seja ouvido e garantir o direito de silêncio, lançados no mesmo contexto sem qualquer explicação, revela contradição. Enfim, a comissão mantém a nota da candidata.</w:t>
      </w:r>
    </w:p>
    <w:p>
      <w:pPr>
        <w:pStyle w:val="Normal"/>
        <w:spacing w:lineRule="auto" w:line="240" w:before="0" w:after="0"/>
        <w:rPr>
          <w:rFonts w:eastAsia="Times New Roman" w:cs="Calibri" w:cstheme="minorHAnsi"/>
          <w:color w:val="000000"/>
          <w:sz w:val="24"/>
          <w:szCs w:val="24"/>
          <w:lang w:eastAsia="pt-BR"/>
        </w:rPr>
      </w:pPr>
      <w:r>
        <w:rPr>
          <w:rFonts w:eastAsia="Times New Roman" w:cs="Calibri" w:cstheme="minorHAnsi"/>
          <w:color w:val="000000"/>
          <w:sz w:val="24"/>
          <w:szCs w:val="24"/>
          <w:lang w:eastAsia="pt-BR"/>
        </w:rPr>
      </w:r>
    </w:p>
    <w:p>
      <w:pPr>
        <w:pStyle w:val="Normal"/>
        <w:tabs>
          <w:tab w:val="clear" w:pos="708"/>
          <w:tab w:val="left" w:pos="2268" w:leader="none"/>
        </w:tabs>
        <w:spacing w:lineRule="auto" w:line="240" w:before="0" w:after="0"/>
        <w:ind w:firstLine="1418"/>
        <w:jc w:val="both"/>
        <w:rPr>
          <w:rFonts w:eastAsia="Times New Roman" w:cs="Calibri" w:cstheme="minorHAnsi"/>
          <w:i/>
          <w:i/>
          <w:color w:val="000000"/>
          <w:sz w:val="24"/>
          <w:szCs w:val="24"/>
          <w:lang w:eastAsia="pt-BR"/>
        </w:rPr>
      </w:pPr>
      <w:r>
        <w:rPr>
          <w:rFonts w:eastAsia="Times New Roman" w:cs="Calibri" w:cstheme="minorHAnsi"/>
          <w:b/>
          <w:color w:val="000000"/>
          <w:sz w:val="24"/>
          <w:szCs w:val="24"/>
          <w:lang w:eastAsia="pt-BR"/>
        </w:rPr>
        <w:t xml:space="preserve">Em relação à questão 04, </w:t>
      </w:r>
      <w:r>
        <w:rPr>
          <w:rFonts w:eastAsia="Times New Roman" w:cs="Calibri" w:cstheme="minorHAnsi"/>
          <w:color w:val="000000"/>
          <w:sz w:val="24"/>
          <w:szCs w:val="24"/>
          <w:lang w:eastAsia="pt-BR"/>
        </w:rPr>
        <w:t>a candidata justificar a sua objeção alegando que : (...) “</w:t>
      </w:r>
      <w:r>
        <w:rPr>
          <w:rFonts w:eastAsia="Times New Roman" w:cs="Calibri" w:cstheme="minorHAnsi"/>
          <w:i/>
          <w:color w:val="000000"/>
          <w:sz w:val="24"/>
          <w:szCs w:val="24"/>
          <w:lang w:eastAsia="pt-BR"/>
        </w:rPr>
        <w:t xml:space="preserve">o espelho disponibilizado traz como gabarito a prisão domiciliar, solução que foi devidamente apontada em minha resposta. </w:t>
      </w:r>
      <w:r>
        <w:rPr>
          <w:rFonts w:eastAsia="Times New Roman" w:cs="Calibri" w:cstheme="minorHAnsi"/>
          <w:b/>
          <w:i/>
          <w:color w:val="000000"/>
          <w:sz w:val="24"/>
          <w:szCs w:val="24"/>
          <w:u w:val="single"/>
          <w:lang w:eastAsia="pt-BR"/>
        </w:rPr>
        <w:t>Apesar de não fazer menção</w:t>
      </w:r>
      <w:r>
        <w:rPr>
          <w:rFonts w:eastAsia="Times New Roman" w:cs="Calibri" w:cstheme="minorHAnsi"/>
          <w:i/>
          <w:color w:val="000000"/>
          <w:sz w:val="24"/>
          <w:szCs w:val="24"/>
          <w:lang w:eastAsia="pt-BR"/>
        </w:rPr>
        <w:t xml:space="preserve"> </w:t>
      </w:r>
      <w:r>
        <w:rPr>
          <w:rFonts w:eastAsia="Times New Roman" w:cs="Calibri" w:cstheme="minorHAnsi"/>
          <w:color w:val="000000"/>
          <w:sz w:val="24"/>
          <w:szCs w:val="24"/>
          <w:lang w:eastAsia="pt-BR"/>
        </w:rPr>
        <w:t>(Grifei) a</w:t>
      </w:r>
      <w:r>
        <w:rPr>
          <w:rFonts w:eastAsia="Times New Roman" w:cs="Calibri" w:cstheme="minorHAnsi"/>
          <w:i/>
          <w:color w:val="000000"/>
          <w:sz w:val="24"/>
          <w:szCs w:val="24"/>
          <w:lang w:eastAsia="pt-BR"/>
        </w:rPr>
        <w:t>os princípios trazidos no espelho, foi devidamente fundamentado na LEP e na jurisprudência do STJ, mencionando inclusive os julgados. Assim, gostaria de requerer que fosse atribuído pelo menos mais 1 ponto, totalizando a nota 8,5 na questão 4, tendo em vista que minha resposta corresponde a resposta apontada pelo espelho, com parte de seus fundamentos.”</w:t>
      </w:r>
    </w:p>
    <w:p>
      <w:pPr>
        <w:pStyle w:val="Normal"/>
        <w:tabs>
          <w:tab w:val="clear" w:pos="708"/>
          <w:tab w:val="left" w:pos="2268" w:leader="none"/>
        </w:tabs>
        <w:spacing w:lineRule="auto" w:line="240" w:before="0" w:after="0"/>
        <w:ind w:firstLine="1418"/>
        <w:jc w:val="both"/>
        <w:rPr>
          <w:rFonts w:eastAsia="Times New Roman" w:cs="Calibri" w:cstheme="minorHAnsi"/>
          <w:i/>
          <w:i/>
          <w:color w:val="000000"/>
          <w:sz w:val="24"/>
          <w:szCs w:val="24"/>
          <w:lang w:eastAsia="pt-BR"/>
        </w:rPr>
      </w:pPr>
      <w:r>
        <w:rPr>
          <w:rFonts w:eastAsia="Times New Roman" w:cs="Calibri" w:cstheme="minorHAnsi"/>
          <w:i/>
          <w:color w:val="000000"/>
          <w:sz w:val="24"/>
          <w:szCs w:val="24"/>
          <w:lang w:eastAsia="pt-BR"/>
        </w:rPr>
      </w:r>
    </w:p>
    <w:p>
      <w:pPr>
        <w:pStyle w:val="Normal"/>
        <w:tabs>
          <w:tab w:val="clear" w:pos="708"/>
          <w:tab w:val="left" w:pos="2268" w:leader="none"/>
        </w:tabs>
        <w:spacing w:lineRule="auto" w:line="240" w:before="0" w:after="0"/>
        <w:ind w:firstLine="1418"/>
        <w:jc w:val="both"/>
        <w:rPr>
          <w:rFonts w:eastAsia="Times New Roman" w:cs="Calibri" w:cstheme="minorHAnsi"/>
          <w:color w:val="000000"/>
          <w:sz w:val="24"/>
          <w:szCs w:val="24"/>
          <w:lang w:eastAsia="pt-BR"/>
        </w:rPr>
      </w:pPr>
      <w:r>
        <w:rPr>
          <w:rFonts w:eastAsia="Times New Roman" w:cs="Calibri" w:cstheme="minorHAnsi"/>
          <w:color w:val="000000"/>
          <w:sz w:val="24"/>
          <w:szCs w:val="24"/>
          <w:lang w:eastAsia="pt-BR"/>
        </w:rPr>
        <w:t xml:space="preserve">Bem! A própria candidata reconhece que não fez menção (...) </w:t>
      </w:r>
      <w:r>
        <w:rPr>
          <w:rFonts w:eastAsia="Times New Roman" w:cs="Calibri" w:cstheme="minorHAnsi"/>
          <w:b/>
          <w:color w:val="000000"/>
          <w:sz w:val="24"/>
          <w:szCs w:val="24"/>
          <w:lang w:eastAsia="pt-BR"/>
        </w:rPr>
        <w:t>“aos princípios trazidos no espelho</w:t>
      </w:r>
      <w:r>
        <w:rPr>
          <w:rFonts w:eastAsia="Times New Roman" w:cs="Calibri" w:cstheme="minorHAnsi"/>
          <w:color w:val="000000"/>
          <w:sz w:val="24"/>
          <w:szCs w:val="24"/>
          <w:lang w:eastAsia="pt-BR"/>
        </w:rPr>
        <w:t xml:space="preserve">” Se isso não bastasse para a perda de 2,5 pontos na questão, uma vez que a justificação constitucional é o principal, ou pelo menos deveria ser o principal para o convencimento do juiz, a quem se dirige a pretensão defensiva, o espelho deixa claro que a interpretação deve ser sistêmica, exatamente, porque não há previsão legal expressa para a solução do caso posto. </w:t>
      </w:r>
    </w:p>
    <w:p>
      <w:pPr>
        <w:pStyle w:val="Normal"/>
        <w:spacing w:lineRule="auto" w:line="240" w:before="0" w:after="0"/>
        <w:ind w:firstLine="1418"/>
        <w:jc w:val="both"/>
        <w:rPr>
          <w:rFonts w:eastAsia="Times New Roman" w:cs="Calibri" w:cstheme="minorHAnsi"/>
          <w:color w:val="000000"/>
          <w:sz w:val="24"/>
          <w:szCs w:val="24"/>
          <w:lang w:eastAsia="pt-BR"/>
        </w:rPr>
      </w:pPr>
      <w:r>
        <w:rPr>
          <w:rFonts w:eastAsia="Times New Roman" w:cs="Calibri" w:cstheme="minorHAnsi"/>
          <w:color w:val="000000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ind w:firstLine="1418"/>
        <w:jc w:val="both"/>
        <w:rPr>
          <w:rFonts w:eastAsia="Times New Roman" w:cs="Calibri" w:cstheme="minorHAnsi"/>
          <w:color w:val="000000"/>
          <w:sz w:val="24"/>
          <w:szCs w:val="24"/>
          <w:lang w:eastAsia="pt-BR"/>
        </w:rPr>
      </w:pPr>
      <w:r>
        <w:rPr>
          <w:rFonts w:eastAsia="Times New Roman" w:cs="Calibri" w:cstheme="minorHAnsi"/>
          <w:color w:val="000000"/>
          <w:sz w:val="24"/>
          <w:szCs w:val="24"/>
          <w:lang w:eastAsia="pt-BR"/>
        </w:rPr>
        <w:t>Argumentos normativos-constitucionais, referindo o Princípio da Individualização da Pena, Direito à Vida, Proibição das Penas Cruéis, dentre outros, que embora não estivessem no espelho, pois que meramente exemplificativos os que lá contidos estavam, constituem-se de instrumentos de força hierarquicamente superior, como devem sê-lo, porque de essência político-jurídica, para solucionar questões complexas, aparentemente, de difícil solução.</w:t>
      </w:r>
    </w:p>
    <w:p>
      <w:pPr>
        <w:pStyle w:val="Normal"/>
        <w:spacing w:lineRule="auto" w:line="240" w:before="0" w:after="0"/>
        <w:ind w:firstLine="1418"/>
        <w:jc w:val="both"/>
        <w:rPr>
          <w:rFonts w:eastAsia="Times New Roman" w:cs="Calibri" w:cstheme="minorHAnsi"/>
          <w:color w:val="000000"/>
          <w:sz w:val="24"/>
          <w:szCs w:val="24"/>
          <w:lang w:eastAsia="pt-BR"/>
        </w:rPr>
      </w:pPr>
      <w:r>
        <w:rPr>
          <w:rFonts w:eastAsia="Times New Roman" w:cs="Calibri" w:cstheme="minorHAnsi"/>
          <w:color w:val="000000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ind w:firstLine="1418"/>
        <w:jc w:val="both"/>
        <w:rPr>
          <w:rFonts w:eastAsia="Times New Roman" w:cs="Calibri" w:cstheme="minorHAnsi"/>
          <w:color w:val="000000"/>
          <w:sz w:val="24"/>
          <w:szCs w:val="24"/>
          <w:lang w:eastAsia="pt-BR"/>
        </w:rPr>
      </w:pPr>
      <w:r>
        <w:rPr>
          <w:rFonts w:eastAsia="Times New Roman" w:cs="Calibri" w:cstheme="minorHAnsi"/>
          <w:color w:val="000000"/>
          <w:sz w:val="24"/>
          <w:szCs w:val="24"/>
          <w:lang w:eastAsia="pt-BR"/>
        </w:rPr>
        <w:t>Também vale lembrar que de fato mencionado foi a jurisprudência, que, de certa maneira, tornou mais permeáveis os juízes ao acolhimento da pretensão da Prisão Domiciliar nesses casos, mas deixou de mencionar o artigo 116 da LEP, referido no espelho. Essa norma, quase principiológica, alinhada ao princípio constitucional da Individualização da Pena é fundamental e instrumental para a funcionalidade do sistema no sentido de adequar a pena as circunstâncias, como expressamente está contido no referido artigo. Diante do exposto, desmerece reparo a nota atribuída.</w:t>
      </w:r>
    </w:p>
    <w:p>
      <w:pPr>
        <w:pStyle w:val="Normal"/>
        <w:spacing w:lineRule="auto" w:line="240" w:before="0" w:after="0"/>
        <w:ind w:firstLine="1418"/>
        <w:jc w:val="both"/>
        <w:rPr>
          <w:rFonts w:eastAsia="Times New Roman" w:cs="Calibri" w:cstheme="minorHAnsi"/>
          <w:color w:val="000000"/>
          <w:sz w:val="24"/>
          <w:szCs w:val="24"/>
          <w:lang w:eastAsia="pt-BR"/>
        </w:rPr>
      </w:pPr>
      <w:r>
        <w:rPr>
          <w:rFonts w:eastAsia="Times New Roman" w:cs="Calibri" w:cstheme="minorHAnsi"/>
          <w:color w:val="000000"/>
          <w:sz w:val="24"/>
          <w:szCs w:val="24"/>
          <w:lang w:eastAsia="pt-BR"/>
        </w:rPr>
      </w:r>
    </w:p>
    <w:p>
      <w:pPr>
        <w:pStyle w:val="Normal"/>
        <w:ind w:firstLine="1418"/>
        <w:jc w:val="both"/>
        <w:rPr>
          <w:rFonts w:eastAsia="Times New Roman" w:cs="Calibri" w:cstheme="minorHAnsi"/>
          <w:sz w:val="24"/>
          <w:szCs w:val="24"/>
        </w:rPr>
      </w:pPr>
      <w:r>
        <w:rPr>
          <w:rFonts w:eastAsia="Times New Roman" w:cs="Calibri" w:cstheme="minorHAnsi"/>
          <w:sz w:val="24"/>
          <w:szCs w:val="24"/>
        </w:rPr>
        <w:t>Ante o exposto, a comissão nega provimento ao recurso e mantém as notas da candidata nas questões 03 e 04.</w:t>
      </w:r>
    </w:p>
    <w:p>
      <w:pPr>
        <w:pStyle w:val="ListParagraph"/>
        <w:tabs>
          <w:tab w:val="clear" w:pos="708"/>
          <w:tab w:val="left" w:pos="689" w:leader="none"/>
        </w:tabs>
        <w:spacing w:lineRule="auto" w:line="247"/>
        <w:ind w:left="720" w:right="112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                                               </w:t>
      </w:r>
      <w:r>
        <w:rPr>
          <w:rFonts w:cs="Calibri" w:cstheme="minorHAnsi"/>
          <w:sz w:val="24"/>
          <w:szCs w:val="24"/>
        </w:rPr>
        <w:t>Timon, 29 de março de 2021.</w:t>
      </w:r>
    </w:p>
    <w:p>
      <w:pPr>
        <w:pStyle w:val="ListParagraph"/>
        <w:tabs>
          <w:tab w:val="clear" w:pos="708"/>
          <w:tab w:val="left" w:pos="689" w:leader="none"/>
        </w:tabs>
        <w:spacing w:lineRule="auto" w:line="247"/>
        <w:ind w:left="720" w:right="112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tabs>
          <w:tab w:val="clear" w:pos="708"/>
          <w:tab w:val="left" w:pos="689" w:leader="none"/>
        </w:tabs>
        <w:spacing w:lineRule="auto" w:line="247"/>
        <w:ind w:left="720" w:right="112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                                     </w:t>
      </w:r>
    </w:p>
    <w:p>
      <w:pPr>
        <w:pStyle w:val="ListParagraph"/>
        <w:tabs>
          <w:tab w:val="clear" w:pos="708"/>
          <w:tab w:val="left" w:pos="689" w:leader="none"/>
        </w:tabs>
        <w:spacing w:lineRule="auto" w:line="247"/>
        <w:ind w:left="720" w:right="112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                                            </w:t>
      </w:r>
      <w:r>
        <w:rPr>
          <w:rFonts w:cs="Calibri" w:cstheme="minorHAnsi"/>
          <w:sz w:val="24"/>
          <w:szCs w:val="24"/>
        </w:rPr>
        <w:t>Creuza Maria Lopes</w:t>
      </w:r>
    </w:p>
    <w:p>
      <w:pPr>
        <w:pStyle w:val="Corpodotexto"/>
        <w:spacing w:lineRule="auto" w:line="247"/>
        <w:ind w:right="497" w:hanging="0"/>
        <w:jc w:val="center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Defensora Pública/Presidente da Comissão</w:t>
      </w:r>
    </w:p>
    <w:p>
      <w:pPr>
        <w:pStyle w:val="Corpodotexto"/>
        <w:spacing w:lineRule="auto" w:line="247"/>
        <w:ind w:right="497" w:hanging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Corpodotexto"/>
        <w:spacing w:lineRule="auto" w:line="247"/>
        <w:ind w:right="497" w:hanging="0"/>
        <w:jc w:val="center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Maria Jeanete Fortes Silva</w:t>
      </w:r>
    </w:p>
    <w:p>
      <w:pPr>
        <w:pStyle w:val="Corpodotexto"/>
        <w:spacing w:lineRule="auto" w:line="247"/>
        <w:ind w:right="497" w:hanging="0"/>
        <w:jc w:val="center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Defensora Pública/Vice-Presidente da Comissão</w:t>
      </w:r>
    </w:p>
    <w:p>
      <w:pPr>
        <w:pStyle w:val="Corpodotexto"/>
        <w:spacing w:lineRule="auto" w:line="247"/>
        <w:ind w:right="497" w:hanging="0"/>
        <w:jc w:val="center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Corpodotexto"/>
        <w:spacing w:lineRule="auto" w:line="247"/>
        <w:ind w:right="497" w:hanging="0"/>
        <w:jc w:val="center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Corpodotexto"/>
        <w:spacing w:lineRule="auto" w:line="247"/>
        <w:ind w:right="497" w:hanging="0"/>
        <w:jc w:val="center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Ricardo Luís de Almeida Teixeira</w:t>
      </w:r>
    </w:p>
    <w:p>
      <w:pPr>
        <w:pStyle w:val="Corpodotexto"/>
        <w:spacing w:lineRule="auto" w:line="247"/>
        <w:ind w:right="497" w:hanging="0"/>
        <w:jc w:val="center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Defensor Público/Secretá</w:t>
      </w:r>
      <w:bookmarkStart w:id="0" w:name="_GoBack"/>
      <w:bookmarkEnd w:id="0"/>
      <w:r>
        <w:rPr>
          <w:rFonts w:cs="Calibri" w:ascii="Calibri" w:hAnsi="Calibri" w:asciiTheme="minorHAnsi" w:cstheme="minorHAnsi" w:hAnsiTheme="minorHAnsi"/>
          <w:sz w:val="24"/>
          <w:szCs w:val="24"/>
        </w:rPr>
        <w:t>rio da Comissão</w:t>
      </w:r>
    </w:p>
    <w:sectPr>
      <w:headerReference w:type="default" r:id="rId4"/>
      <w:footerReference w:type="default" r:id="rId5"/>
      <w:type w:val="nextPage"/>
      <w:pgSz w:w="12240" w:h="15840"/>
      <w:pgMar w:left="1701" w:right="1701" w:header="720" w:top="1417" w:footer="720" w:bottom="1417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>
        <w:rFonts w:cs="Times New Roman" w:ascii="Times New Roman" w:hAnsi="Times New Roman"/>
        <w:lang w:eastAsia="pt-BR"/>
      </w:rPr>
      <w:t xml:space="preserve">                                                                          </w:t>
    </w:r>
    <w:r>
      <w:rPr/>
      <w:drawing>
        <wp:inline distT="0" distB="0" distL="0" distR="0">
          <wp:extent cx="1104900" cy="908685"/>
          <wp:effectExtent l="0" t="0" r="0" b="0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orpodotexto"/>
      <w:spacing w:lineRule="auto" w:line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t xml:space="preserve">                                                                </w:t>
    </w:r>
    <w:r>
      <w:rPr/>
      <w:drawing>
        <wp:inline distT="0" distB="0" distL="0" distR="0">
          <wp:extent cx="1104900" cy="908685"/>
          <wp:effectExtent l="0" t="0" r="0" b="0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98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styleId="Normal" w:default="1">
    <w:name w:val="Normal"/>
    <w:qFormat/>
    <w:rsid w:val="00511986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detextoChar" w:customStyle="1">
    <w:name w:val="Corpo de texto Char"/>
    <w:basedOn w:val="DefaultParagraphFont"/>
    <w:link w:val="Corpodetexto"/>
    <w:uiPriority w:val="1"/>
    <w:qFormat/>
    <w:rsid w:val="00511986"/>
    <w:rPr>
      <w:rFonts w:ascii="Arial" w:hAnsi="Arial" w:eastAsia="Arial" w:cs="Arial"/>
      <w:color w:val="00000A"/>
      <w:sz w:val="20"/>
      <w:szCs w:val="20"/>
      <w:lang w:val="pt-PT" w:eastAsia="pt-PT" w:bidi="pt-PT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511986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uiPriority w:val="1"/>
    <w:qFormat/>
    <w:rsid w:val="00511986"/>
    <w:pPr>
      <w:widowControl w:val="false"/>
      <w:spacing w:lineRule="auto" w:line="240" w:before="0" w:after="0"/>
    </w:pPr>
    <w:rPr>
      <w:rFonts w:ascii="Arial" w:hAnsi="Arial" w:eastAsia="Arial" w:cs="Arial"/>
      <w:color w:val="00000A"/>
      <w:sz w:val="20"/>
      <w:szCs w:val="20"/>
      <w:lang w:val="pt-PT" w:eastAsia="pt-PT" w:bidi="pt-PT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qFormat/>
    <w:rsid w:val="00511986"/>
    <w:pPr>
      <w:spacing w:before="0" w:after="160"/>
      <w:ind w:left="720" w:hanging="0"/>
      <w:contextualSpacing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511986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LibreOffice/6.4.6.2$Windows_X86_64 LibreOffice_project/0ce51a4fd21bff07a5c061082cc82c5ed232f115</Application>
  <Pages>10</Pages>
  <Words>3388</Words>
  <Characters>18012</Characters>
  <CharactersWithSpaces>22240</CharactersWithSpaces>
  <Paragraphs>105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2021-03-29T12:25:00Z</dcterms:created>
  <dc:creator>CREUZA  LOPES</dc:creator>
  <dc:description/>
  <dc:language>pt-BR</dc:language>
  <cp:lastModifiedBy>CREUZA  LOPES</cp:lastModifiedBy>
  <cp:lastPrinted>2021-03-29T12:23:00Z</cp:lastPrinted>
  <dcterms:modified xsi:type="dcterms:W3CDTF">2021-03-29T12:45:00Z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