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14/2021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CONVOCA ESTAGIÁRIA APROVADA PARA OCUPAR NOVA VAGA DE ESTÁGIO.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 xml:space="preserve"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 e considerando o requerimento da candidata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>INGRID ROCHA NASCIMENTO</w:t>
      </w:r>
      <w:r>
        <w:rPr>
          <w:rFonts w:eastAsia="" w:ascii="Times New Roman" w:hAnsi="Times New Roman" w:eastAsiaTheme="majorEastAsia"/>
          <w:sz w:val="24"/>
          <w:szCs w:val="24"/>
        </w:rPr>
        <w:t>, convocada através do Edital nº 13/2021, de 10 de junho de 2021, que solicitou reposicionamento para o final da fila dos classificados,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right="195" w:hanging="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 candidata aprovada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MARIA CLARA RÊGO OLIVEIRA, </w:t>
      </w:r>
      <w:r>
        <w:rPr>
          <w:rFonts w:eastAsia="Times New Roman" w:cs="Times New Roman" w:ascii="Times New Roman" w:hAnsi="Times New Roman"/>
          <w:sz w:val="24"/>
          <w:szCs w:val="24"/>
        </w:rPr>
        <w:t>colocada em 8º lugar da concorrência ampla.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A candidata convocada deverá atender às disposições do item 9 do edital de abertura – DA CONTRATAÇÃO, encaminhar os documentos referentes à contratação até o dia 11 de julho de 2021,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5520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3º - Em caso de desistência ou requerimento para a posição de final da lista de candidatos classificados, a candidata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sz w:val="24"/>
          <w:szCs w:val="24"/>
          <w:lang w:val="pt-PT" w:eastAsia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11 de junho de 2021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>Defensora Pública/Presidente da Comissão,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5C70BB7F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5C70BB7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Av. Jaime Rios, 396 – Timon/MA</w:t>
    </w:r>
    <w:r>
      <w:rPr>
        <w:rFonts w:ascii="Ecofont Vera Sans" w:hAnsi="Ecofont Vera Sans"/>
        <w:color w:val="auto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185f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3d185f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3d185f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3d185f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3d185f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3d185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d185f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3d185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LibreOffice/7.1.0.3$Windows_X86_64 LibreOffice_project/f6099ecf3d29644b5008cc8f48f42f4a40986e4c</Application>
  <AppVersion>15.0000</AppVersion>
  <Pages>1</Pages>
  <Words>256</Words>
  <Characters>1395</Characters>
  <CharactersWithSpaces>1644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2021-06-11T14:26:00Z</dcterms:created>
  <dc:creator>Creuza Maria Lopes</dc:creator>
  <dc:description/>
  <dc:language>pt-BR</dc:language>
  <cp:lastModifiedBy>Creuza Maria Lopes</cp:lastModifiedBy>
  <dcterms:modified xsi:type="dcterms:W3CDTF">2021-06-11T14:35:00Z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