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76" w:before="94" w:after="0"/>
        <w:ind w:left="-142" w:right="195" w:hanging="20"/>
        <w:jc w:val="center"/>
        <w:rPr>
          <w:rFonts w:ascii="Times New Roman" w:hAnsi="Times New Roman" w:cs="Times New Roman"/>
          <w:sz w:val="24"/>
          <w:szCs w:val="24"/>
          <w:u w:val="single"/>
        </w:rPr>
      </w:pPr>
      <w:r>
        <w:rPr>
          <w:rFonts w:cs="Times New Roman" w:ascii="Times New Roman" w:hAnsi="Times New Roman"/>
          <w:sz w:val="24"/>
          <w:szCs w:val="24"/>
          <w:u w:val="single"/>
        </w:rPr>
        <w:t>EDITAL Nº 01/2021</w:t>
      </w:r>
    </w:p>
    <w:p>
      <w:pPr>
        <w:pStyle w:val="Ttulo1"/>
        <w:spacing w:lineRule="auto" w:line="276" w:before="94" w:after="0"/>
        <w:ind w:left="-142" w:right="195" w:hanging="20"/>
        <w:jc w:val="center"/>
        <w:rPr>
          <w:rFonts w:ascii="Times New Roman" w:hAnsi="Times New Roman" w:cs="Times New Roman"/>
          <w:sz w:val="24"/>
          <w:szCs w:val="24"/>
          <w:u w:val="single"/>
        </w:rPr>
      </w:pPr>
      <w:r>
        <w:rPr>
          <w:rFonts w:cs="Times New Roman" w:ascii="Times New Roman" w:hAnsi="Times New Roman"/>
          <w:sz w:val="24"/>
          <w:szCs w:val="24"/>
          <w:u w:val="single"/>
        </w:rPr>
      </w:r>
    </w:p>
    <w:p>
      <w:pPr>
        <w:pStyle w:val="Ttulo1"/>
        <w:spacing w:lineRule="auto" w:line="276"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t>I PROCESSO SELETIVO PARA ESTÁGIO FORENSE DE PÓS-GRADUAÇÃO EM DIREITO PARA ATUAÇÃO NO NÚCLEO DE 2º INSTÂNCIA</w:t>
      </w:r>
    </w:p>
    <w:p>
      <w:pPr>
        <w:pStyle w:val="Ttulo1"/>
        <w:spacing w:lineRule="auto" w:line="276" w:before="94" w:after="0"/>
        <w:ind w:left="-142" w:right="195" w:hanging="20"/>
        <w:jc w:val="center"/>
        <w:rPr>
          <w:rFonts w:ascii="Times New Roman" w:hAnsi="Times New Roman" w:cs="Times New Roman"/>
          <w:sz w:val="24"/>
          <w:szCs w:val="24"/>
          <w:u w:val="single"/>
        </w:rPr>
      </w:pPr>
      <w:r>
        <w:rPr>
          <w:rFonts w:cs="Times New Roman" w:ascii="Times New Roman" w:hAnsi="Times New Roman"/>
          <w:sz w:val="24"/>
          <w:szCs w:val="24"/>
          <w:u w:val="single"/>
        </w:rPr>
      </w:r>
    </w:p>
    <w:p>
      <w:pPr>
        <w:pStyle w:val="Normal"/>
        <w:ind w:firstLine="279"/>
        <w:jc w:val="both"/>
        <w:rPr>
          <w:rFonts w:ascii="Times New Roman" w:hAnsi="Times New Roman"/>
          <w:b/>
          <w:b/>
          <w:bCs/>
          <w:color w:val="000000" w:themeColor="text1"/>
          <w:sz w:val="24"/>
          <w:szCs w:val="24"/>
          <w:u w:val="single"/>
          <w:lang w:val="pt-PT"/>
        </w:rPr>
      </w:pPr>
      <w:r>
        <w:rPr>
          <w:rFonts w:ascii="Times New Roman" w:hAnsi="Times New Roman"/>
          <w:sz w:val="24"/>
          <w:szCs w:val="24"/>
        </w:rPr>
        <w:t xml:space="preserve">O </w:t>
      </w:r>
      <w:r>
        <w:rPr>
          <w:rFonts w:ascii="Times New Roman" w:hAnsi="Times New Roman"/>
          <w:b/>
          <w:sz w:val="24"/>
          <w:szCs w:val="24"/>
        </w:rPr>
        <w:t>SUBDEFENSOR PÚBLICO-GERAL DO ESTADO</w:t>
      </w:r>
      <w:r>
        <w:rPr>
          <w:rFonts w:ascii="Times New Roman" w:hAnsi="Times New Roman"/>
          <w:sz w:val="24"/>
          <w:szCs w:val="24"/>
        </w:rPr>
        <w:t xml:space="preserve">, no uso das atribuições conferidas pelo art. 97-A, I, da Lei Complementar nº. 80, de 12 de janeiro 1994, pelo art. 17, VI, da Lei Complementar do Estado do Maranhão nº. 19, de 11 de janeiro de 1994 e pelo art. 5º, IV, “h”, </w:t>
      </w:r>
      <w:r>
        <w:rPr>
          <w:rFonts w:ascii="Times New Roman" w:hAnsi="Times New Roman"/>
          <w:b/>
          <w:sz w:val="24"/>
          <w:szCs w:val="24"/>
        </w:rPr>
        <w:t>FAZ SABER</w:t>
      </w:r>
      <w:r>
        <w:rPr>
          <w:rFonts w:ascii="Times New Roman" w:hAnsi="Times New Roman"/>
          <w:sz w:val="24"/>
          <w:szCs w:val="24"/>
        </w:rPr>
        <w:t xml:space="preserve"> a todos quantos o presente </w:t>
      </w:r>
      <w:r>
        <w:rPr>
          <w:rFonts w:ascii="Times New Roman" w:hAnsi="Times New Roman"/>
          <w:b/>
          <w:sz w:val="24"/>
          <w:szCs w:val="24"/>
        </w:rPr>
        <w:t>EDITAL</w:t>
      </w:r>
      <w:r>
        <w:rPr>
          <w:rFonts w:ascii="Times New Roman" w:hAnsi="Times New Roman"/>
          <w:sz w:val="24"/>
          <w:szCs w:val="24"/>
        </w:rPr>
        <w:t xml:space="preserve"> virem ou dele tiverem conhecimento que, na forma das normas ínsitas no artigo 37, inciso IX, da Constituição Federal e artigo 19, inciso IX, da Constituição do Estado do Maranhão, respectivamente combinados com a Lei Federal nº 11.788, de 25 de Setembro de 2008, bem como a Resolução nº 24/208 – CSDPEMA e demais normas que regem a matéria, ficam </w:t>
      </w:r>
      <w:r>
        <w:rPr>
          <w:rFonts w:ascii="Times New Roman" w:hAnsi="Times New Roman"/>
          <w:color w:val="000000" w:themeColor="text1"/>
          <w:sz w:val="24"/>
          <w:szCs w:val="24"/>
        </w:rPr>
        <w:t xml:space="preserve">abertas no período de </w:t>
      </w:r>
      <w:r>
        <w:rPr>
          <w:rFonts w:ascii="Times New Roman" w:hAnsi="Times New Roman"/>
          <w:b/>
          <w:color w:val="000000" w:themeColor="text1"/>
          <w:sz w:val="24"/>
          <w:szCs w:val="24"/>
        </w:rPr>
        <w:t>02/02/2021 a 05/02/2021</w:t>
      </w:r>
      <w:r>
        <w:rPr>
          <w:rFonts w:ascii="Times New Roman" w:hAnsi="Times New Roman"/>
          <w:color w:val="000000" w:themeColor="text1"/>
          <w:sz w:val="24"/>
          <w:szCs w:val="24"/>
        </w:rPr>
        <w:t xml:space="preserve">, as inscrições do </w:t>
      </w:r>
      <w:r>
        <w:rPr>
          <w:rFonts w:ascii="Times New Roman" w:hAnsi="Times New Roman"/>
          <w:b/>
          <w:bCs/>
          <w:color w:val="000000" w:themeColor="text1"/>
          <w:sz w:val="24"/>
          <w:szCs w:val="24"/>
          <w:lang w:val="pt-PT"/>
        </w:rPr>
        <w:t>I PROCESSO SELETIVO PARA ESTÁGIO FORENSE DE PÓS-GRADUAÇÃO EM DIREITO PARA ATUAÇÃO NO NÚCLEO DE 2º INSTÂNCIA</w:t>
      </w:r>
      <w:r>
        <w:rPr>
          <w:rFonts w:ascii="Times New Roman" w:hAnsi="Times New Roman"/>
          <w:color w:val="000000" w:themeColor="text1"/>
          <w:sz w:val="24"/>
          <w:szCs w:val="24"/>
        </w:rPr>
        <w:t xml:space="preserve">, para formação de cadastro de reserva, das quais 10% das vagas se destinam a pessoas com deficiência, nos termos do inciso VIII do art. 37 da </w:t>
      </w:r>
      <w:r>
        <w:rPr>
          <w:rFonts w:ascii="Times New Roman" w:hAnsi="Times New Roman"/>
          <w:sz w:val="24"/>
          <w:szCs w:val="24"/>
        </w:rPr>
        <w:t>CF,  obedecendo às seguintes disposições:</w:t>
      </w:r>
    </w:p>
    <w:p>
      <w:pPr>
        <w:pStyle w:val="Corpodotexto"/>
        <w:numPr>
          <w:ilvl w:val="0"/>
          <w:numId w:val="2"/>
        </w:numPr>
        <w:spacing w:lineRule="auto" w:line="276" w:before="3" w:after="0"/>
        <w:jc w:val="both"/>
        <w:rPr>
          <w:rFonts w:ascii="Times New Roman" w:hAnsi="Times New Roman" w:cs="Times New Roman"/>
          <w:b/>
          <w:b/>
          <w:bCs/>
          <w:sz w:val="24"/>
          <w:szCs w:val="24"/>
          <w:lang w:val="pt-BR"/>
        </w:rPr>
      </w:pPr>
      <w:r>
        <w:rPr>
          <w:rFonts w:cs="Times New Roman" w:ascii="Times New Roman" w:hAnsi="Times New Roman"/>
          <w:b/>
          <w:bCs/>
          <w:sz w:val="24"/>
          <w:szCs w:val="24"/>
          <w:lang w:val="pt-BR"/>
        </w:rPr>
        <w:t>DAS DISPOSIÇÕES PRELIMINARES</w:t>
      </w:r>
    </w:p>
    <w:p>
      <w:pPr>
        <w:pStyle w:val="Corpodotexto"/>
        <w:spacing w:lineRule="auto" w:line="276" w:before="3" w:after="0"/>
        <w:jc w:val="both"/>
        <w:rPr>
          <w:rFonts w:ascii="Times New Roman" w:hAnsi="Times New Roman" w:cs="Times New Roman"/>
          <w:b/>
          <w:b/>
          <w:bCs/>
          <w:sz w:val="24"/>
          <w:szCs w:val="24"/>
          <w:lang w:val="pt-BR"/>
        </w:rPr>
      </w:pPr>
      <w:r>
        <w:rPr>
          <w:rFonts w:cs="Times New Roman" w:ascii="Times New Roman" w:hAnsi="Times New Roman"/>
          <w:b/>
          <w:bCs/>
          <w:sz w:val="24"/>
          <w:szCs w:val="24"/>
          <w:lang w:val="pt-BR"/>
        </w:rPr>
      </w:r>
    </w:p>
    <w:p>
      <w:pPr>
        <w:pStyle w:val="Normal"/>
        <w:widowControl w:val="false"/>
        <w:numPr>
          <w:ilvl w:val="1"/>
          <w:numId w:val="10"/>
        </w:numPr>
        <w:tabs>
          <w:tab w:val="clear" w:pos="708"/>
          <w:tab w:val="left" w:pos="689" w:leader="none"/>
        </w:tabs>
        <w:spacing w:lineRule="auto" w:line="247" w:before="0" w:after="0"/>
        <w:ind w:left="792" w:right="112" w:hanging="432"/>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A coordenação, organização e aplicação deste processo seletivo ficarão sob a responsabilidade da comissão designada na Portaria nº 39/2021 - DPGE sob a presidência da Diretora da Escola Superior da Defensoria Pública do Estado do Maranhão.</w:t>
      </w:r>
    </w:p>
    <w:p>
      <w:pPr>
        <w:pStyle w:val="Normal"/>
        <w:widowControl w:val="false"/>
        <w:spacing w:lineRule="auto" w:line="240" w:before="1" w:after="0"/>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10"/>
        </w:numPr>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Poderão ser instituídas subcomissões que terão como atribuição o apoio técnico nas etapas deste seletivo;</w:t>
      </w:r>
    </w:p>
    <w:p>
      <w:pPr>
        <w:pStyle w:val="Normal"/>
        <w:widowControl w:val="false"/>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10"/>
        </w:numPr>
        <w:tabs>
          <w:tab w:val="clear" w:pos="708"/>
          <w:tab w:val="left" w:pos="825" w:leader="none"/>
        </w:tabs>
        <w:spacing w:lineRule="auto" w:line="247" w:before="0" w:after="0"/>
        <w:ind w:left="1134" w:right="113"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Nas ausências justificadas da presidente da Comissão do Processo Seletivo, a presidência caberá ao Subdefensor Público-Geral do Estado.</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10"/>
        </w:numPr>
        <w:spacing w:lineRule="auto" w:line="276" w:before="3" w:after="0"/>
        <w:ind w:left="284" w:firstLine="5"/>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se destina a selecionar candidatos para formação de </w:t>
      </w:r>
      <w:r>
        <w:rPr>
          <w:rFonts w:cs="Times New Roman" w:ascii="Times New Roman" w:hAnsi="Times New Roman"/>
          <w:b/>
          <w:bCs/>
          <w:color w:val="000000" w:themeColor="text1"/>
          <w:sz w:val="24"/>
          <w:szCs w:val="24"/>
          <w:lang w:val="pt-BR"/>
        </w:rPr>
        <w:t>CADASTRO DE RESERVA</w:t>
      </w:r>
      <w:r>
        <w:rPr>
          <w:rFonts w:cs="Times New Roman" w:ascii="Times New Roman" w:hAnsi="Times New Roman"/>
          <w:color w:val="000000" w:themeColor="text1"/>
          <w:sz w:val="24"/>
          <w:szCs w:val="24"/>
          <w:lang w:val="pt-BR"/>
        </w:rPr>
        <w:t xml:space="preserve"> para as vagas no </w:t>
      </w:r>
      <w:r>
        <w:rPr>
          <w:rFonts w:cs="Times New Roman" w:ascii="Times New Roman" w:hAnsi="Times New Roman"/>
          <w:b/>
          <w:color w:val="000000" w:themeColor="text1"/>
          <w:sz w:val="24"/>
          <w:szCs w:val="24"/>
          <w:lang w:val="pt-BR"/>
        </w:rPr>
        <w:t xml:space="preserve">NÚCLEO DE 2º INSTÂNCIA </w:t>
      </w:r>
      <w:r>
        <w:rPr>
          <w:rFonts w:cs="Times New Roman" w:ascii="Times New Roman" w:hAnsi="Times New Roman"/>
          <w:color w:val="000000" w:themeColor="text1"/>
          <w:sz w:val="24"/>
          <w:szCs w:val="24"/>
          <w:lang w:val="pt-BR"/>
        </w:rPr>
        <w:t xml:space="preserve">que, porventura, venham a surgir durante o período de validade do certame. </w:t>
      </w:r>
    </w:p>
    <w:p>
      <w:pPr>
        <w:pStyle w:val="Corpodotexto"/>
        <w:spacing w:lineRule="auto" w:line="276" w:before="3" w:after="0"/>
        <w:ind w:left="284"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numPr>
          <w:ilvl w:val="1"/>
          <w:numId w:val="10"/>
        </w:numPr>
        <w:spacing w:lineRule="auto" w:line="276" w:before="3" w:after="0"/>
        <w:ind w:left="284" w:firstLine="59"/>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É de responsabilidade </w:t>
      </w:r>
      <w:r>
        <w:rPr>
          <w:rFonts w:cs="Times New Roman" w:ascii="Times New Roman" w:hAnsi="Times New Roman"/>
          <w:b/>
          <w:bCs/>
          <w:sz w:val="24"/>
          <w:szCs w:val="24"/>
          <w:lang w:val="pt-BR"/>
        </w:rPr>
        <w:t>EXCLUSIVA</w:t>
      </w:r>
      <w:r>
        <w:rPr>
          <w:rFonts w:cs="Times New Roman" w:ascii="Times New Roman" w:hAnsi="Times New Roman"/>
          <w:sz w:val="24"/>
          <w:szCs w:val="24"/>
          <w:lang w:val="pt-BR"/>
        </w:rPr>
        <w:t xml:space="preserve"> do candidato acompanhar todas as publicações referentes a este processo seletivo. </w:t>
      </w:r>
    </w:p>
    <w:p>
      <w:pPr>
        <w:pStyle w:val="NoSpacing"/>
        <w:numPr>
          <w:ilvl w:val="1"/>
          <w:numId w:val="10"/>
        </w:numPr>
        <w:spacing w:before="120" w:after="12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Todas as publicações serão feitas nos quadros de aviso e no site da </w:t>
      </w:r>
      <w:r>
        <w:rPr>
          <w:rFonts w:cs="Times New Roman" w:ascii="Times New Roman" w:hAnsi="Times New Roman"/>
          <w:b/>
          <w:sz w:val="24"/>
          <w:szCs w:val="24"/>
          <w:lang w:val="pt-BR"/>
        </w:rPr>
        <w:t>DEFENSORIA PUBLICA</w:t>
      </w:r>
      <w:r>
        <w:rPr>
          <w:rFonts w:cs="Times New Roman" w:ascii="Times New Roman" w:hAnsi="Times New Roman"/>
          <w:sz w:val="24"/>
          <w:szCs w:val="24"/>
          <w:lang w:val="pt-BR"/>
        </w:rPr>
        <w:t xml:space="preserve"> (</w:t>
      </w:r>
      <w:hyperlink r:id="rId2">
        <w:r>
          <w:rPr>
            <w:rStyle w:val="LinkdaInternet"/>
            <w:rFonts w:cs="Times New Roman" w:ascii="Times New Roman" w:hAnsi="Times New Roman"/>
            <w:sz w:val="24"/>
            <w:szCs w:val="24"/>
            <w:lang w:val="pt-BR"/>
          </w:rPr>
          <w:t>http://defensoria.ma.def.br/seletivo</w:t>
        </w:r>
      </w:hyperlink>
      <w:r>
        <w:rPr>
          <w:rFonts w:cs="Times New Roman" w:ascii="Times New Roman" w:hAnsi="Times New Roman"/>
          <w:sz w:val="24"/>
          <w:szCs w:val="24"/>
          <w:lang w:val="pt-BR"/>
        </w:rPr>
        <w:t>), cabendo ao candidato, ou interessado, seu devido acompanhamento, ressalvado este Edital de Abertura e o resultado final, que também serão publicados no Diário Oficial do Estado;</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1"/>
          <w:numId w:val="10"/>
        </w:numPr>
        <w:ind w:left="792" w:hanging="366"/>
        <w:jc w:val="both"/>
        <w:rPr>
          <w:rFonts w:ascii="Times New Roman" w:hAnsi="Times New Roman" w:eastAsia="Arial"/>
          <w:color w:val="000000" w:themeColor="text1"/>
          <w:sz w:val="24"/>
          <w:szCs w:val="24"/>
          <w:lang w:eastAsia="pt-PT" w:bidi="pt-PT"/>
        </w:rPr>
      </w:pPr>
      <w:r>
        <w:rPr>
          <w:rFonts w:eastAsia="Arial" w:ascii="Times New Roman" w:hAnsi="Times New Roman"/>
          <w:color w:val="000000" w:themeColor="text1"/>
          <w:sz w:val="24"/>
          <w:szCs w:val="24"/>
          <w:lang w:eastAsia="pt-PT" w:bidi="pt-PT"/>
        </w:rPr>
        <w:t xml:space="preserve"> </w:t>
      </w:r>
      <w:r>
        <w:rPr>
          <w:rFonts w:eastAsia="Arial" w:ascii="Times New Roman" w:hAnsi="Times New Roman"/>
          <w:color w:val="000000" w:themeColor="text1"/>
          <w:sz w:val="24"/>
          <w:szCs w:val="24"/>
          <w:lang w:eastAsia="pt-PT" w:bidi="pt-PT"/>
        </w:rPr>
        <w:t>O Termo de Compromisso celebrado entre a Defensoria Pública do Estado do Maranhão e o estagiário, com a interveniência obrigatória da Instituição de Ensino, será regido pela Lei Federal nº 11.788, de 25 de Setembro de 2008 e pela Resolução nº 024 – CSDPEMA, de 14 de dezembro de 2018, não havendo vínculo empregatício entre os mesmos.</w:t>
      </w:r>
      <w:r>
        <w:rPr>
          <w:rFonts w:ascii="Times New Roman" w:hAnsi="Times New Roman"/>
          <w:color w:val="000000" w:themeColor="text1"/>
          <w:sz w:val="24"/>
          <w:szCs w:val="24"/>
        </w:rPr>
        <w:t xml:space="preserve"> </w:t>
      </w:r>
    </w:p>
    <w:p>
      <w:pPr>
        <w:pStyle w:val="Corpodotexto"/>
        <w:numPr>
          <w:ilvl w:val="1"/>
          <w:numId w:val="10"/>
        </w:numPr>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O processo seletivo será regido por esse Edital e será composto por duas fases:</w:t>
      </w:r>
    </w:p>
    <w:p>
      <w:pPr>
        <w:pStyle w:val="Corpodotexto"/>
        <w:numPr>
          <w:ilvl w:val="0"/>
          <w:numId w:val="3"/>
        </w:numPr>
        <w:spacing w:lineRule="auto" w:line="276"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color w:val="000000" w:themeColor="text1"/>
          <w:sz w:val="24"/>
          <w:szCs w:val="24"/>
          <w:lang w:val="pt-BR" w:eastAsia="en-US" w:bidi="ar-SA"/>
        </w:rPr>
        <w:t xml:space="preserve">Análise Curricular, de caráter </w:t>
      </w:r>
      <w:r>
        <w:rPr>
          <w:rFonts w:eastAsia="Calibri" w:cs="Times New Roman" w:ascii="Times New Roman" w:hAnsi="Times New Roman"/>
          <w:b/>
          <w:bCs/>
          <w:color w:val="000000" w:themeColor="text1"/>
          <w:sz w:val="24"/>
          <w:szCs w:val="24"/>
          <w:lang w:val="pt-BR" w:eastAsia="en-US" w:bidi="ar-SA"/>
        </w:rPr>
        <w:t>CLASSIFICATÓRIO E ELIMINATÓRIO</w:t>
      </w:r>
      <w:r>
        <w:rPr>
          <w:rFonts w:eastAsia="Calibri" w:cs="Times New Roman" w:ascii="Times New Roman" w:hAnsi="Times New Roman"/>
          <w:color w:val="000000" w:themeColor="text1"/>
          <w:sz w:val="24"/>
          <w:szCs w:val="24"/>
          <w:lang w:val="pt-BR" w:eastAsia="en-US" w:bidi="ar-SA"/>
        </w:rPr>
        <w:t xml:space="preserve"> e;</w:t>
      </w:r>
    </w:p>
    <w:p>
      <w:pPr>
        <w:pStyle w:val="Corpodotexto"/>
        <w:numPr>
          <w:ilvl w:val="0"/>
          <w:numId w:val="3"/>
        </w:numPr>
        <w:spacing w:lineRule="auto" w:line="276"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color w:val="000000" w:themeColor="text1"/>
          <w:sz w:val="24"/>
          <w:szCs w:val="24"/>
          <w:lang w:val="pt-BR" w:eastAsia="en-US" w:bidi="ar-SA"/>
        </w:rPr>
        <w:t xml:space="preserve">Prova Dissertativa, de </w:t>
      </w:r>
      <w:r>
        <w:rPr>
          <w:rFonts w:eastAsia="Calibri" w:cs="Times New Roman" w:ascii="Times New Roman" w:hAnsi="Times New Roman"/>
          <w:b/>
          <w:bCs/>
          <w:color w:val="000000" w:themeColor="text1"/>
          <w:sz w:val="24"/>
          <w:szCs w:val="24"/>
          <w:lang w:val="pt-BR" w:eastAsia="en-US" w:bidi="ar-SA"/>
        </w:rPr>
        <w:t>CARÁTER CLASSIFICATÓRIO E ELIMINATÓRIO</w:t>
      </w:r>
      <w:r>
        <w:rPr>
          <w:rFonts w:eastAsia="Calibri" w:cs="Times New Roman" w:ascii="Times New Roman" w:hAnsi="Times New Roman"/>
          <w:color w:val="000000" w:themeColor="text1"/>
          <w:sz w:val="24"/>
          <w:szCs w:val="24"/>
          <w:lang w:val="pt-BR" w:eastAsia="en-US" w:bidi="ar-SA"/>
        </w:rPr>
        <w:t>.</w:t>
      </w:r>
    </w:p>
    <w:p>
      <w:pPr>
        <w:pStyle w:val="Corpodotexto"/>
        <w:spacing w:lineRule="auto" w:line="276" w:before="3" w:after="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numPr>
          <w:ilvl w:val="1"/>
          <w:numId w:val="10"/>
        </w:numPr>
        <w:spacing w:lineRule="auto" w:line="276" w:before="3" w:after="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O Cronograma do Processo Seletivo está disposto no </w:t>
      </w:r>
      <w:r>
        <w:rPr>
          <w:rFonts w:cs="Times New Roman" w:ascii="Times New Roman" w:hAnsi="Times New Roman"/>
          <w:b/>
          <w:bCs/>
          <w:sz w:val="24"/>
          <w:szCs w:val="24"/>
          <w:lang w:val="pt-BR"/>
        </w:rPr>
        <w:t>ANEXO I</w:t>
      </w:r>
      <w:r>
        <w:rPr>
          <w:rFonts w:cs="Times New Roman" w:ascii="Times New Roman" w:hAnsi="Times New Roman"/>
          <w:sz w:val="24"/>
          <w:szCs w:val="24"/>
          <w:lang w:val="pt-BR"/>
        </w:rPr>
        <w:t xml:space="preserve"> deste Edital, podendo ser alterado, a critério da organização do seletivo, com a devida publicação. </w:t>
      </w:r>
    </w:p>
    <w:p>
      <w:pPr>
        <w:pStyle w:val="Corpodotexto"/>
        <w:spacing w:lineRule="auto" w:line="276" w:before="3" w:after="0"/>
        <w:ind w:left="1129"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numPr>
          <w:ilvl w:val="1"/>
          <w:numId w:val="10"/>
        </w:numPr>
        <w:spacing w:lineRule="auto" w:line="276" w:before="3" w:after="24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O Conteúdo Programático está disposto no </w:t>
      </w:r>
      <w:r>
        <w:rPr>
          <w:rFonts w:cs="Times New Roman" w:ascii="Times New Roman" w:hAnsi="Times New Roman"/>
          <w:b/>
          <w:bCs/>
          <w:sz w:val="24"/>
          <w:szCs w:val="24"/>
          <w:lang w:val="pt-BR"/>
        </w:rPr>
        <w:t>ANEXO I</w:t>
      </w:r>
      <w:r>
        <w:rPr>
          <w:rFonts w:cs="Times New Roman" w:ascii="Times New Roman" w:hAnsi="Times New Roman"/>
          <w:b/>
          <w:bCs/>
          <w:color w:val="000000" w:themeColor="text1"/>
          <w:sz w:val="24"/>
          <w:szCs w:val="24"/>
          <w:lang w:val="pt-BR"/>
        </w:rPr>
        <w:t>I</w:t>
      </w:r>
      <w:r>
        <w:rPr>
          <w:rFonts w:cs="Times New Roman" w:ascii="Times New Roman" w:hAnsi="Times New Roman"/>
          <w:sz w:val="24"/>
          <w:szCs w:val="24"/>
          <w:lang w:val="pt-BR"/>
        </w:rPr>
        <w:t xml:space="preserve"> deste edital. </w:t>
      </w:r>
    </w:p>
    <w:p>
      <w:pPr>
        <w:pStyle w:val="ListParagraph"/>
        <w:numPr>
          <w:ilvl w:val="0"/>
          <w:numId w:val="10"/>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DAS VAGAS, LOTAÇÃO E ATIVIDADES DESENVOLVIDAS</w:t>
      </w:r>
    </w:p>
    <w:p>
      <w:pPr>
        <w:pStyle w:val="ListParagraph"/>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Será formado um cadastro de reserva para a atuação no </w:t>
      </w:r>
      <w:r>
        <w:rPr>
          <w:rFonts w:ascii="Times New Roman" w:hAnsi="Times New Roman"/>
          <w:b/>
          <w:color w:val="000000" w:themeColor="text1"/>
          <w:sz w:val="24"/>
          <w:szCs w:val="24"/>
        </w:rPr>
        <w:t>NÚCLEO DE 2º INSTÂNCIA</w:t>
      </w:r>
      <w:r>
        <w:rPr>
          <w:rFonts w:ascii="Times New Roman" w:hAnsi="Times New Roman"/>
          <w:color w:val="000000" w:themeColor="text1"/>
          <w:sz w:val="24"/>
          <w:szCs w:val="24"/>
        </w:rPr>
        <w:t xml:space="preserve">, até a </w:t>
      </w:r>
      <w:r>
        <w:rPr>
          <w:rFonts w:ascii="Times New Roman" w:hAnsi="Times New Roman"/>
          <w:b/>
          <w:color w:val="000000" w:themeColor="text1"/>
          <w:sz w:val="24"/>
          <w:szCs w:val="24"/>
        </w:rPr>
        <w:t>20ª</w:t>
      </w:r>
      <w:r>
        <w:rPr>
          <w:rFonts w:ascii="Times New Roman" w:hAnsi="Times New Roman"/>
          <w:b/>
          <w:bCs/>
          <w:color w:val="000000" w:themeColor="text1"/>
          <w:sz w:val="24"/>
          <w:szCs w:val="24"/>
        </w:rPr>
        <w:t xml:space="preserve"> (vigésima) colocação</w:t>
      </w:r>
      <w:r>
        <w:rPr>
          <w:rFonts w:ascii="Times New Roman" w:hAnsi="Times New Roman"/>
          <w:color w:val="000000" w:themeColor="text1"/>
          <w:sz w:val="24"/>
          <w:szCs w:val="24"/>
        </w:rPr>
        <w:t>, para estagiários de Pós-Graduação em Direito.</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aprovação no processo seletivo não gera direito subjetivo à convocação.</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ordem de classificação não gera direito de preferência à atuação em determinada área, cuja escolha incumbe única e exclusivamente à </w:t>
      </w:r>
      <w:r>
        <w:rPr>
          <w:rFonts w:ascii="Times New Roman" w:hAnsi="Times New Roman"/>
          <w:b/>
          <w:color w:val="000000" w:themeColor="text1"/>
          <w:sz w:val="24"/>
          <w:szCs w:val="24"/>
        </w:rPr>
        <w:t xml:space="preserve">DEFENSORIA PÚBLICA. </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Caso aprovado, somente poderá ser admitido como estagiário se, no momento da convocação, o estudante preencher o requisito de estar regularmente inscrito em Pós-Graduação de instituições de ensino oficiais ou reconhecidas, e </w:t>
      </w:r>
      <w:r>
        <w:rPr>
          <w:rFonts w:ascii="Times New Roman" w:hAnsi="Times New Roman"/>
          <w:b/>
          <w:bCs/>
          <w:color w:val="000000" w:themeColor="text1"/>
          <w:sz w:val="24"/>
          <w:szCs w:val="24"/>
        </w:rPr>
        <w:t>CONVENIADAS</w:t>
      </w:r>
      <w:r>
        <w:rPr>
          <w:rFonts w:ascii="Times New Roman" w:hAnsi="Times New Roman"/>
          <w:color w:val="000000" w:themeColor="text1"/>
          <w:sz w:val="24"/>
          <w:szCs w:val="24"/>
        </w:rPr>
        <w:t xml:space="preserve"> com a Defensoria Pública do Estado do Maranhão. </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Corpodotexto"/>
        <w:numPr>
          <w:ilvl w:val="0"/>
          <w:numId w:val="10"/>
        </w:numPr>
        <w:spacing w:lineRule="auto" w:line="276"/>
        <w:rPr>
          <w:rFonts w:ascii="Times New Roman" w:hAnsi="Times New Roman" w:cs="Times New Roman"/>
          <w:b/>
          <w:b/>
          <w:sz w:val="24"/>
          <w:szCs w:val="24"/>
          <w:lang w:val="pt-BR"/>
        </w:rPr>
      </w:pPr>
      <w:r>
        <w:rPr>
          <w:rFonts w:cs="Times New Roman" w:ascii="Times New Roman" w:hAnsi="Times New Roman"/>
          <w:b/>
          <w:sz w:val="24"/>
          <w:szCs w:val="24"/>
          <w:lang w:val="pt-BR"/>
        </w:rPr>
        <w:t>DA REMUNERAÇÃO E DA CARGA-HORÁRIA</w:t>
      </w:r>
    </w:p>
    <w:p>
      <w:pPr>
        <w:pStyle w:val="Corpodotexto"/>
        <w:spacing w:lineRule="auto" w:line="276"/>
        <w:ind w:left="720" w:hanging="0"/>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ListParagraph"/>
        <w:widowControl w:val="false"/>
        <w:numPr>
          <w:ilvl w:val="1"/>
          <w:numId w:val="10"/>
        </w:numPr>
        <w:tabs>
          <w:tab w:val="clear" w:pos="708"/>
          <w:tab w:val="left" w:pos="644" w:leader="none"/>
        </w:tabs>
        <w:spacing w:lineRule="auto" w:line="247" w:before="0" w:after="0"/>
        <w:ind w:left="792" w:right="116" w:hanging="43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estagiários receberão Bolsa Auxílio no valor de R$1.420,00 (hum mil quatrocentos e vinte reais) e Auxílio Transporte no valor de R$52,00 (cinquenta e dois reais) </w:t>
      </w:r>
      <w:r>
        <w:rPr>
          <w:rFonts w:ascii="Times New Roman" w:hAnsi="Times New Roman"/>
          <w:b/>
          <w:color w:val="000000" w:themeColor="text1"/>
          <w:sz w:val="24"/>
          <w:szCs w:val="24"/>
        </w:rPr>
        <w:t>integralizando o total de R$1.472,00 (hum mil quatrocentos e setenta e dois reais),</w:t>
      </w:r>
      <w:r>
        <w:rPr>
          <w:rFonts w:ascii="Times New Roman" w:hAnsi="Times New Roman"/>
          <w:color w:val="000000" w:themeColor="text1"/>
          <w:sz w:val="24"/>
          <w:szCs w:val="24"/>
        </w:rPr>
        <w:t xml:space="preserve"> conforme disposto no art. 1º da Resolução nº 003/2020 – DPGE, na forma do art. 6ª, § 1º da </w:t>
      </w:r>
      <w:r>
        <w:rPr>
          <w:rFonts w:ascii="Times New Roman" w:hAnsi="Times New Roman"/>
          <w:b/>
          <w:color w:val="000000" w:themeColor="text1"/>
          <w:sz w:val="24"/>
          <w:szCs w:val="24"/>
        </w:rPr>
        <w:t>Resolução nº 024/2018 – CSDPEMA</w:t>
      </w:r>
      <w:r>
        <w:rPr>
          <w:rFonts w:ascii="Times New Roman" w:hAnsi="Times New Roman"/>
          <w:color w:val="000000" w:themeColor="text1"/>
          <w:sz w:val="24"/>
          <w:szCs w:val="24"/>
        </w:rPr>
        <w:t xml:space="preserve"> com carga horária diária de 04 (quatro) horas e 20 (vinte) horas semanais, de segunda a sexta-feira.  </w:t>
      </w:r>
    </w:p>
    <w:p>
      <w:pPr>
        <w:pStyle w:val="ListParagraph"/>
        <w:widowControl w:val="false"/>
        <w:tabs>
          <w:tab w:val="clear" w:pos="708"/>
          <w:tab w:val="left" w:pos="644" w:leader="none"/>
        </w:tabs>
        <w:spacing w:lineRule="auto" w:line="247" w:before="0" w:after="0"/>
        <w:ind w:left="1129" w:right="116" w:hanging="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10"/>
        </w:numPr>
        <w:tabs>
          <w:tab w:val="clear" w:pos="708"/>
          <w:tab w:val="left" w:pos="659" w:leader="none"/>
        </w:tabs>
        <w:spacing w:lineRule="auto" w:line="247" w:before="0" w:after="0"/>
        <w:ind w:left="792" w:right="114" w:hanging="432"/>
        <w:jc w:val="both"/>
        <w:rPr>
          <w:rFonts w:ascii="Times New Roman" w:hAnsi="Times New Roman"/>
          <w:sz w:val="24"/>
          <w:szCs w:val="24"/>
        </w:rPr>
      </w:pPr>
      <w:r>
        <w:rPr>
          <w:rFonts w:ascii="Times New Roman" w:hAnsi="Times New Roman"/>
          <w:sz w:val="24"/>
          <w:szCs w:val="24"/>
        </w:rPr>
        <w:t>O estágio terá duração de até 01 (um) ano, podendo ser prorrogado por igual período, com exceção do estágio firmado com pessoa com deficiência, cuja renovação poderá ser prorrogada até a conclusão do curso, conforme Resolução nº 024 – CSDPEMA, Art. 8º §2º.</w:t>
      </w:r>
    </w:p>
    <w:p>
      <w:pPr>
        <w:pStyle w:val="Corpodotexto"/>
        <w:spacing w:before="1"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10"/>
        </w:numPr>
        <w:tabs>
          <w:tab w:val="clear" w:pos="708"/>
          <w:tab w:val="left" w:pos="629" w:leader="none"/>
        </w:tabs>
        <w:spacing w:lineRule="auto" w:line="247" w:before="0" w:after="0"/>
        <w:ind w:left="792" w:right="112" w:hanging="432"/>
        <w:jc w:val="both"/>
        <w:rPr>
          <w:rFonts w:ascii="Times New Roman" w:hAnsi="Times New Roman"/>
          <w:sz w:val="24"/>
          <w:szCs w:val="24"/>
        </w:rPr>
      </w:pPr>
      <w:r>
        <w:rPr>
          <w:rFonts w:ascii="Times New Roman" w:hAnsi="Times New Roman"/>
          <w:sz w:val="24"/>
          <w:szCs w:val="24"/>
        </w:rPr>
        <w:t xml:space="preserve">É assegurado ao estagiário, sempre que o estágio tenha duração igual ou superior a 1 (um) ano, período de recesso de 30 (trinta) dias. </w:t>
      </w:r>
    </w:p>
    <w:p>
      <w:pPr>
        <w:pStyle w:val="ListParagraph"/>
        <w:spacing w:lineRule="auto" w:line="276"/>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10"/>
        </w:numPr>
        <w:spacing w:lineRule="auto" w:line="276"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t xml:space="preserve">DAS PESSOAS COM DEFICIÊNCIA </w:t>
      </w:r>
    </w:p>
    <w:p>
      <w:pPr>
        <w:pStyle w:val="ListParagraph"/>
        <w:spacing w:lineRule="auto" w:line="276"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10"/>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Durante o período de validade do processo seletivo, 10% (dez por cento) das contratações serão reservadas às pessoas com deficiência, facultados pelo inciso VIII do art. 37 da CF, desde que a deficiência seja compatível com as condições de estágio exigidas pelo órgão. </w:t>
      </w:r>
    </w:p>
    <w:p>
      <w:pPr>
        <w:pStyle w:val="ListParagraph"/>
        <w:spacing w:lineRule="auto" w:line="276" w:before="240" w:after="160"/>
        <w:ind w:left="792" w:hanging="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Caso a aplicação do percentual estabelecido no item 4.1 resulte em número fracionado, este será elevado para o primeiro número inteiro subsequente, em caso de fração igual ou maior que 0,5 (cinco décimos), ou diminuído para o número inteiro imediatamente inferior, em caso de fração menor que 0,5 (cinco décimos).</w:t>
        <w:br/>
      </w:r>
    </w:p>
    <w:p>
      <w:pPr>
        <w:pStyle w:val="ListParagraph"/>
        <w:numPr>
          <w:ilvl w:val="1"/>
          <w:numId w:val="10"/>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ListParagraph"/>
        <w:spacing w:lineRule="auto" w:line="276"/>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10"/>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também deverão informar, no momento da inscrição, se há necessidade de atendimento diferenciado e qual as adaptações necessárias, conforme art. 1º do Decreto 9.508/2018.</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10"/>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A solicitação de atendimento diferenciado acima referida será atendida obedecendo aos critérios de viabilidade e razoabilidade, sendo comunicado o seu deferimento ao candidato.</w:t>
      </w:r>
    </w:p>
    <w:p>
      <w:pPr>
        <w:pStyle w:val="ListParagrap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10"/>
        </w:numPr>
        <w:spacing w:lineRule="auto" w:line="276"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Os candidatos com deficiência concorrerão concomitantemente às vagas a eles reservadas e às vagas destinadas à ampla concorrência, de acordo com a sua classificação neste processo seletivo.</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10"/>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O candidato com deficiência participará do processo seletivo em igualdade de condições com os demais candidatos, no que se refere ao conteúdo, à avaliação, </w:t>
      </w:r>
      <w:r>
        <w:rPr>
          <w:rFonts w:eastAsia="Times New Roman" w:ascii="Times New Roman" w:hAnsi="Times New Roman"/>
          <w:color w:val="000000" w:themeColor="text1"/>
          <w:sz w:val="24"/>
          <w:szCs w:val="24"/>
          <w:highlight w:val="white"/>
          <w:lang w:eastAsia="zh-CN"/>
        </w:rPr>
        <w:t>horário de início</w:t>
      </w:r>
      <w:r>
        <w:rPr>
          <w:rFonts w:eastAsia="Times New Roman" w:ascii="Times New Roman" w:hAnsi="Times New Roman"/>
          <w:color w:val="000000" w:themeColor="text1"/>
          <w:sz w:val="24"/>
          <w:szCs w:val="24"/>
          <w:lang w:eastAsia="zh-CN"/>
        </w:rPr>
        <w:t xml:space="preserve"> e às notas mínimas exigidas.</w:t>
      </w:r>
    </w:p>
    <w:p>
      <w:pPr>
        <w:pStyle w:val="ListParagrap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10"/>
        </w:numPr>
        <w:spacing w:lineRule="auto" w:line="276"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Corpodotexto"/>
        <w:numPr>
          <w:ilvl w:val="0"/>
          <w:numId w:val="10"/>
        </w:numPr>
        <w:spacing w:lineRule="auto" w:line="276"/>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DAS INSCRIÇÕES</w:t>
      </w:r>
    </w:p>
    <w:p>
      <w:pPr>
        <w:pStyle w:val="Corpodotexto"/>
        <w:spacing w:lineRule="auto" w:line="276"/>
        <w:ind w:left="720"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Corpodotexto"/>
        <w:numPr>
          <w:ilvl w:val="1"/>
          <w:numId w:val="10"/>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As inscrições deverão ser efetuadas única e exclusivamente pela internet, através do site da Defensoria Pública (</w:t>
      </w:r>
      <w:hyperlink r:id="rId3">
        <w:r>
          <w:rPr>
            <w:rStyle w:val="LinkdaInternet"/>
            <w:rFonts w:cs="Times New Roman" w:ascii="Times New Roman" w:hAnsi="Times New Roman"/>
            <w:sz w:val="24"/>
            <w:szCs w:val="24"/>
          </w:rPr>
          <w:t>CLIQUE AQUI</w:t>
        </w:r>
      </w:hyperlink>
      <w:r>
        <w:rPr>
          <w:rFonts w:cs="Times New Roman" w:ascii="Times New Roman" w:hAnsi="Times New Roman"/>
          <w:color w:val="000000" w:themeColor="text1"/>
          <w:sz w:val="24"/>
          <w:szCs w:val="24"/>
        </w:rPr>
        <w:t xml:space="preserve">) no </w:t>
      </w:r>
      <w:r>
        <w:rPr>
          <w:rFonts w:cs="Times New Roman" w:ascii="Times New Roman" w:hAnsi="Times New Roman"/>
          <w:b/>
          <w:color w:val="000000" w:themeColor="text1"/>
          <w:sz w:val="24"/>
          <w:szCs w:val="24"/>
        </w:rPr>
        <w:t>período de 02/02/2021, a partir das 08:00 horas, até às 23:59 do dia 05/02/2021.</w:t>
      </w:r>
    </w:p>
    <w:p>
      <w:pPr>
        <w:pStyle w:val="Normal"/>
        <w:numPr>
          <w:ilvl w:val="2"/>
          <w:numId w:val="10"/>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Não será permitida inscrição pelos correios, fac-símile, condicional ou fora do prazo estabelecido.</w:t>
      </w:r>
    </w:p>
    <w:p>
      <w:pPr>
        <w:pStyle w:val="Normal"/>
        <w:spacing w:lineRule="auto" w:line="276" w:before="0" w:after="0"/>
        <w:ind w:left="1696"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10"/>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10"/>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Informações adicionais ou esclarecimentos serão disponibilizados na página virtual da Defensoria Pública do Estado do Maranhão (</w:t>
      </w:r>
      <w:hyperlink r:id="rId4">
        <w:r>
          <w:rPr>
            <w:rStyle w:val="LinkdaInternet"/>
            <w:rFonts w:ascii="Times New Roman" w:hAnsi="Times New Roman"/>
            <w:sz w:val="24"/>
            <w:szCs w:val="24"/>
          </w:rPr>
          <w:t>CLIQUE AQUI</w:t>
        </w:r>
      </w:hyperlink>
      <w:r>
        <w:rPr>
          <w:rFonts w:ascii="Times New Roman" w:hAnsi="Times New Roman"/>
          <w:bCs/>
          <w:color w:val="000000" w:themeColor="text1"/>
          <w:sz w:val="24"/>
          <w:szCs w:val="24"/>
        </w:rPr>
        <w:t>).</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10"/>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Eventuais dúvidas ou questionamentos deverão ser direcionados EXCLUSIVAMENTE para o e-mail </w:t>
      </w:r>
      <w:hyperlink r:id="rId5">
        <w:r>
          <w:rPr>
            <w:rStyle w:val="LinkdaInternet"/>
            <w:rFonts w:eastAsia="Arial" w:ascii="Times New Roman" w:hAnsi="Times New Roman"/>
            <w:b/>
            <w:sz w:val="24"/>
            <w:szCs w:val="24"/>
            <w:lang w:val="pt-PT" w:eastAsia="pt-PT" w:bidi="pt-PT"/>
          </w:rPr>
          <w:t>seletivos2021@ma.def.br</w:t>
        </w:r>
      </w:hyperlink>
      <w:r>
        <w:rPr>
          <w:rFonts w:eastAsia="Arial" w:ascii="Times New Roman" w:hAnsi="Times New Roman"/>
          <w:b/>
          <w:color w:val="000000" w:themeColor="text1"/>
          <w:sz w:val="24"/>
          <w:szCs w:val="24"/>
          <w:u w:val="single"/>
          <w:lang w:val="pt-PT" w:eastAsia="pt-PT" w:bidi="pt-PT"/>
        </w:rPr>
        <w:t>.</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10"/>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pedido de inscrição implicará na aceitação, pelo (a) candidato (a), de todas as normas e condições estabelecidas no presente Edital.</w:t>
      </w:r>
    </w:p>
    <w:p>
      <w:pPr>
        <w:pStyle w:val="ListParagraph"/>
        <w:numPr>
          <w:ilvl w:val="1"/>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 xml:space="preserve"> </w:t>
      </w:r>
      <w:r>
        <w:rPr>
          <w:rFonts w:ascii="Times New Roman" w:hAnsi="Times New Roman"/>
          <w:b/>
          <w:color w:val="000000" w:themeColor="text1"/>
          <w:sz w:val="24"/>
          <w:szCs w:val="24"/>
          <w:u w:val="single"/>
        </w:rPr>
        <w:t>PARA INSCREVER-SE, O CANDIDATO DEVERÁ</w:t>
      </w:r>
      <w:r>
        <w:rPr>
          <w:rFonts w:ascii="Times New Roman" w:hAnsi="Times New Roman"/>
          <w:color w:val="000000" w:themeColor="text1"/>
          <w:sz w:val="24"/>
          <w:szCs w:val="24"/>
        </w:rPr>
        <w:t>:</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4"/>
        </w:numPr>
        <w:spacing w:lineRule="auto" w:line="276"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Acessar o endereço eletrônico da Defensoria Pública (</w:t>
      </w:r>
      <w:hyperlink r:id="rId6">
        <w:r>
          <w:rPr>
            <w:rStyle w:val="LinkdaInternet"/>
            <w:rFonts w:ascii="Times New Roman" w:hAnsi="Times New Roman"/>
            <w:sz w:val="24"/>
            <w:szCs w:val="24"/>
          </w:rPr>
          <w:t>CLIQUE AQUI</w:t>
        </w:r>
      </w:hyperlink>
      <w:r>
        <w:rPr>
          <w:rFonts w:ascii="Times New Roman" w:hAnsi="Times New Roman"/>
          <w:color w:val="000000" w:themeColor="text1"/>
          <w:sz w:val="24"/>
          <w:szCs w:val="24"/>
        </w:rPr>
        <w:t>) durante o período de inscrição descrito no item 5.1 deste Edital e clicar no botão “Participar” e efetuar o cadastro;</w:t>
      </w:r>
    </w:p>
    <w:p>
      <w:pPr>
        <w:pStyle w:val="ListParagraph"/>
        <w:numPr>
          <w:ilvl w:val="0"/>
          <w:numId w:val="4"/>
        </w:numPr>
        <w:spacing w:lineRule="auto" w:line="276"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Anexar, em </w:t>
      </w:r>
      <w:r>
        <w:rPr>
          <w:rFonts w:ascii="Times New Roman" w:hAnsi="Times New Roman"/>
          <w:b/>
          <w:color w:val="000000" w:themeColor="text1"/>
          <w:sz w:val="24"/>
          <w:szCs w:val="24"/>
        </w:rPr>
        <w:t xml:space="preserve">FORMATO PDF, </w:t>
      </w:r>
      <w:r>
        <w:rPr>
          <w:rFonts w:ascii="Times New Roman" w:hAnsi="Times New Roman"/>
          <w:color w:val="000000" w:themeColor="text1"/>
          <w:sz w:val="24"/>
          <w:szCs w:val="24"/>
        </w:rPr>
        <w:t xml:space="preserve">em um arquivo </w:t>
      </w:r>
      <w:r>
        <w:rPr>
          <w:rFonts w:ascii="Times New Roman" w:hAnsi="Times New Roman"/>
          <w:b/>
          <w:color w:val="000000" w:themeColor="text1"/>
          <w:sz w:val="24"/>
          <w:szCs w:val="24"/>
        </w:rPr>
        <w:t xml:space="preserve">ÚNICO, </w:t>
      </w:r>
      <w:r>
        <w:rPr>
          <w:rFonts w:ascii="Times New Roman" w:hAnsi="Times New Roman"/>
          <w:color w:val="000000" w:themeColor="text1"/>
          <w:sz w:val="24"/>
          <w:szCs w:val="24"/>
        </w:rPr>
        <w:t>os seguintes documentos:</w:t>
      </w:r>
    </w:p>
    <w:p>
      <w:pPr>
        <w:pStyle w:val="ListParagraph"/>
        <w:spacing w:lineRule="auto" w:line="276" w:before="240" w:after="160"/>
        <w:ind w:left="148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c.1 Currículo Lattes completo, extraído da plataforma lattes do CNPQ (</w:t>
      </w:r>
      <w:hyperlink r:id="rId7">
        <w:r>
          <w:rPr>
            <w:rStyle w:val="LinkdaInternet"/>
            <w:rFonts w:ascii="Times New Roman" w:hAnsi="Times New Roman"/>
            <w:sz w:val="24"/>
            <w:szCs w:val="24"/>
          </w:rPr>
          <w:t>CLIQUE AQUI</w:t>
        </w:r>
      </w:hyperlink>
      <w:r>
        <w:rPr>
          <w:rFonts w:ascii="Times New Roman" w:hAnsi="Times New Roman"/>
          <w:color w:val="000000" w:themeColor="text1"/>
          <w:sz w:val="24"/>
          <w:szCs w:val="24"/>
        </w:rPr>
        <w:t xml:space="preserve">) com comprovação (certificados, declarações, atas etc.) de todos os títulos, produção científica, monitoria, projeto de pesquisa, documentos de experiência profissional (se houver) e outros que comprovem o que foi declarado, </w:t>
      </w:r>
      <w:r>
        <w:rPr>
          <w:rFonts w:ascii="Times New Roman" w:hAnsi="Times New Roman"/>
          <w:b/>
          <w:color w:val="000000" w:themeColor="text1"/>
          <w:sz w:val="24"/>
          <w:szCs w:val="24"/>
        </w:rPr>
        <w:t>CONFORME ITEM 7.2 E SEGUINTES</w:t>
      </w:r>
      <w:r>
        <w:rPr>
          <w:rFonts w:ascii="Times New Roman" w:hAnsi="Times New Roman"/>
          <w:color w:val="000000" w:themeColor="text1"/>
          <w:sz w:val="24"/>
          <w:szCs w:val="24"/>
        </w:rPr>
        <w:t>;</w:t>
      </w:r>
    </w:p>
    <w:p>
      <w:pPr>
        <w:pStyle w:val="Normal"/>
        <w:spacing w:lineRule="auto" w:line="276" w:before="240" w:after="160"/>
        <w:ind w:left="1134" w:hanging="0"/>
        <w:jc w:val="both"/>
        <w:rPr>
          <w:rFonts w:ascii="Times New Roman" w:hAnsi="Times New Roman"/>
          <w:color w:val="000000" w:themeColor="text1"/>
          <w:sz w:val="24"/>
          <w:szCs w:val="24"/>
        </w:rPr>
      </w:pPr>
      <w:r>
        <w:rPr>
          <w:rFonts w:ascii="Times New Roman" w:hAnsi="Times New Roman"/>
          <w:color w:val="000000" w:themeColor="text1"/>
          <w:sz w:val="24"/>
          <w:szCs w:val="24"/>
        </w:rPr>
        <w:t>c) Clicar em “</w:t>
      </w:r>
      <w:r>
        <w:rPr>
          <w:rFonts w:ascii="Times New Roman" w:hAnsi="Times New Roman"/>
          <w:b/>
          <w:color w:val="000000" w:themeColor="text1"/>
          <w:sz w:val="24"/>
          <w:szCs w:val="24"/>
        </w:rPr>
        <w:t>ENVIAR INSCRIÇÃO</w:t>
      </w:r>
      <w:r>
        <w:rPr>
          <w:rFonts w:ascii="Times New Roman" w:hAnsi="Times New Roman"/>
          <w:color w:val="000000" w:themeColor="text1"/>
          <w:sz w:val="24"/>
          <w:szCs w:val="24"/>
        </w:rPr>
        <w:t xml:space="preserve">” para efetivar a inscrição no seletivo. </w:t>
      </w:r>
    </w:p>
    <w:p>
      <w:pPr>
        <w:pStyle w:val="ListParagraph"/>
        <w:numPr>
          <w:ilvl w:val="1"/>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Candidatos deficientes deverão marcar no sistema a opção pela reserva de vaga (e informar a numeração do CID). </w:t>
      </w:r>
    </w:p>
    <w:p>
      <w:pPr>
        <w:pStyle w:val="ListParagraph"/>
        <w:spacing w:lineRule="auto" w:line="276" w:before="240" w:after="160"/>
        <w:ind w:left="27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Qualquer informação falsa ou não comprovada gera a eliminação do candidato no processo seletivo, sem prejuízo das sanções penais cabíveis.</w:t>
      </w:r>
    </w:p>
    <w:p>
      <w:pPr>
        <w:pStyle w:val="ListParagraph"/>
        <w:rPr>
          <w:rFonts w:ascii="Times New Roman" w:hAnsi="Times New Roman"/>
          <w:sz w:val="24"/>
          <w:szCs w:val="24"/>
        </w:rPr>
      </w:pPr>
      <w:r>
        <w:rPr>
          <w:rFonts w:ascii="Times New Roman" w:hAnsi="Times New Roman"/>
          <w:sz w:val="24"/>
          <w:szCs w:val="24"/>
        </w:rPr>
      </w:r>
    </w:p>
    <w:p>
      <w:pPr>
        <w:pStyle w:val="ListParagraph"/>
        <w:numPr>
          <w:ilvl w:val="1"/>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sz w:val="24"/>
          <w:szCs w:val="24"/>
        </w:rPr>
        <w:t>A não inclusão dos documentos relacionados nas alíneas do subitem 7.2, desclassifica o candidato, mesmo que tenha feito sua inscrição no endereço eletrônico descrito no subitem 5.2.</w:t>
      </w:r>
    </w:p>
    <w:p>
      <w:pPr>
        <w:pStyle w:val="NoSpacing"/>
        <w:numPr>
          <w:ilvl w:val="0"/>
          <w:numId w:val="10"/>
        </w:numPr>
        <w:spacing w:lineRule="auto" w:line="276"/>
        <w:jc w:val="both"/>
        <w:rPr>
          <w:rFonts w:ascii="Times New Roman" w:hAnsi="Times New Roman" w:cs="Times New Roman"/>
          <w:b/>
          <w:b/>
          <w:sz w:val="24"/>
          <w:szCs w:val="24"/>
          <w:lang w:val="pt-BR" w:eastAsia="pt-BR"/>
        </w:rPr>
      </w:pPr>
      <w:r>
        <w:rPr>
          <w:rFonts w:cs="Times New Roman" w:ascii="Times New Roman" w:hAnsi="Times New Roman"/>
          <w:b/>
          <w:sz w:val="24"/>
          <w:szCs w:val="24"/>
          <w:lang w:val="pt-BR" w:eastAsia="pt-BR"/>
        </w:rPr>
        <w:t>DAS ETAPAS DO PROCESSO SELETIVO</w:t>
      </w:r>
    </w:p>
    <w:p>
      <w:pPr>
        <w:pStyle w:val="ListParagraph"/>
        <w:numPr>
          <w:ilvl w:val="1"/>
          <w:numId w:val="10"/>
        </w:numPr>
        <w:spacing w:lineRule="auto" w:line="276" w:before="120" w:after="120"/>
        <w:contextualSpacing/>
        <w:jc w:val="both"/>
        <w:rPr>
          <w:rFonts w:ascii="Times New Roman" w:hAnsi="Times New Roman"/>
          <w:color w:val="000000" w:themeColor="text1"/>
          <w:sz w:val="24"/>
          <w:szCs w:val="24"/>
        </w:rPr>
      </w:pPr>
      <w:r>
        <w:rPr>
          <w:rFonts w:ascii="Times New Roman" w:hAnsi="Times New Roman"/>
          <w:sz w:val="24"/>
          <w:szCs w:val="24"/>
        </w:rPr>
        <w:t xml:space="preserve">O presente processo seletivo será desenvolvido em duas etapas avaliativas, sendo, a primeira de </w:t>
      </w:r>
      <w:r>
        <w:rPr>
          <w:rFonts w:ascii="Times New Roman" w:hAnsi="Times New Roman"/>
          <w:b/>
          <w:sz w:val="24"/>
          <w:szCs w:val="24"/>
        </w:rPr>
        <w:t>CARÁTER ELIMINATÓRIO E CLASSIFICATÓRIO</w:t>
      </w:r>
      <w:r>
        <w:rPr>
          <w:rFonts w:ascii="Times New Roman" w:hAnsi="Times New Roman"/>
          <w:sz w:val="24"/>
          <w:szCs w:val="24"/>
        </w:rPr>
        <w:t xml:space="preserve"> e segunda de </w:t>
      </w:r>
      <w:r>
        <w:rPr>
          <w:rFonts w:ascii="Times New Roman" w:hAnsi="Times New Roman"/>
          <w:b/>
          <w:color w:val="000000" w:themeColor="text1"/>
          <w:sz w:val="24"/>
          <w:szCs w:val="24"/>
        </w:rPr>
        <w:t>CARÁTER CLASSIFICATÓRIO E ELIMINATÓRIO.</w:t>
      </w:r>
    </w:p>
    <w:p>
      <w:pPr>
        <w:pStyle w:val="ListParagraph"/>
        <w:spacing w:lineRule="auto" w:line="276"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6662" w:type="dxa"/>
        <w:jc w:val="left"/>
        <w:tblInd w:w="1838" w:type="dxa"/>
        <w:tblCellMar>
          <w:top w:w="0" w:type="dxa"/>
          <w:left w:w="78" w:type="dxa"/>
          <w:bottom w:w="0" w:type="dxa"/>
          <w:right w:w="108" w:type="dxa"/>
        </w:tblCellMar>
        <w:tblLook w:firstRow="0" w:noVBand="0" w:lastRow="0" w:firstColumn="0" w:lastColumn="0" w:noHBand="0" w:val="0000"/>
      </w:tblPr>
      <w:tblGrid>
        <w:gridCol w:w="3259"/>
        <w:gridCol w:w="3402"/>
      </w:tblGrid>
      <w:tr>
        <w:trPr/>
        <w:tc>
          <w:tcPr>
            <w:tcW w:w="3259" w:type="dxa"/>
            <w:tcBorders>
              <w:top w:val="single" w:sz="4" w:space="0" w:color="000000"/>
              <w:left w:val="single" w:sz="4" w:space="0" w:color="000000"/>
              <w:bottom w:val="single" w:sz="4" w:space="0" w:color="000000"/>
            </w:tcBorders>
            <w:shd w:color="auto" w:fill="auto" w:val="clear"/>
          </w:tcPr>
          <w:p>
            <w:pPr>
              <w:pStyle w:val="NoSpacing"/>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ANÁLISE DO CURRÍCULO</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spacing w:lineRule="auto" w:line="276"/>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PROVA DISSERTATIVA</w:t>
            </w:r>
          </w:p>
        </w:tc>
      </w:tr>
      <w:tr>
        <w:trPr>
          <w:trHeight w:val="619" w:hRule="atLeast"/>
        </w:trPr>
        <w:tc>
          <w:tcPr>
            <w:tcW w:w="3259" w:type="dxa"/>
            <w:tcBorders>
              <w:top w:val="single" w:sz="4" w:space="0" w:color="000000"/>
              <w:left w:val="single" w:sz="4" w:space="0" w:color="000000"/>
              <w:bottom w:val="single" w:sz="4" w:space="0" w:color="000000"/>
            </w:tcBorders>
            <w:shd w:color="auto" w:fill="auto" w:val="clear"/>
          </w:tcPr>
          <w:p>
            <w:pPr>
              <w:pStyle w:val="NoSpacing"/>
              <w:spacing w:lineRule="auto" w:line="276" w:before="240" w:after="16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40 (quarenta) pontos</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lineRule="auto" w:line="276" w:before="240" w:after="16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60 (sessenta) pontos</w:t>
            </w:r>
          </w:p>
        </w:tc>
      </w:tr>
    </w:tbl>
    <w:p>
      <w:pPr>
        <w:pStyle w:val="Normal"/>
        <w:spacing w:lineRule="auto" w:line="276"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1"/>
          <w:numId w:val="10"/>
        </w:numPr>
        <w:spacing w:lineRule="auto" w:line="276"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primeira etapa, de </w:t>
      </w:r>
      <w:r>
        <w:rPr>
          <w:rFonts w:cs="Times New Roman" w:ascii="Times New Roman" w:hAnsi="Times New Roman"/>
          <w:b/>
          <w:color w:val="000000" w:themeColor="text1"/>
          <w:szCs w:val="24"/>
          <w:lang w:val="pt-BR"/>
        </w:rPr>
        <w:t>CARÁTER CLASSIFICATÓRIO E ELIMINATÓRIO</w:t>
      </w:r>
      <w:r>
        <w:rPr>
          <w:rFonts w:cs="Times New Roman" w:ascii="Times New Roman" w:hAnsi="Times New Roman"/>
          <w:color w:val="000000" w:themeColor="text1"/>
          <w:sz w:val="24"/>
          <w:szCs w:val="24"/>
          <w:lang w:val="pt-BR"/>
        </w:rPr>
        <w:t xml:space="preserve">, consistirá na avaliação do currículo lattes dos candidatos, que serão avaliados pelos pontos elencados no item 7 deste edital. </w:t>
      </w:r>
    </w:p>
    <w:p>
      <w:pPr>
        <w:pStyle w:val="NoSpacing"/>
        <w:numPr>
          <w:ilvl w:val="1"/>
          <w:numId w:val="10"/>
        </w:numPr>
        <w:spacing w:lineRule="auto" w:line="276"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Na segunda etapa, de </w:t>
      </w:r>
      <w:r>
        <w:rPr>
          <w:rFonts w:cs="Times New Roman" w:ascii="Times New Roman" w:hAnsi="Times New Roman"/>
          <w:b/>
          <w:color w:val="000000" w:themeColor="text1"/>
          <w:sz w:val="24"/>
          <w:szCs w:val="24"/>
          <w:lang w:val="pt-BR"/>
        </w:rPr>
        <w:t>CARÁTER CLASSIFICATÓRIO E ELIMINATÓRIO,</w:t>
      </w:r>
      <w:r>
        <w:rPr>
          <w:rFonts w:cs="Times New Roman" w:ascii="Times New Roman" w:hAnsi="Times New Roman"/>
          <w:color w:val="000000" w:themeColor="text1"/>
          <w:sz w:val="24"/>
          <w:szCs w:val="24"/>
          <w:lang w:val="pt-BR"/>
        </w:rPr>
        <w:t xml:space="preserve"> o candidato será avaliado por meio de uma </w:t>
      </w:r>
      <w:r>
        <w:rPr>
          <w:rFonts w:cs="Times New Roman" w:ascii="Times New Roman" w:hAnsi="Times New Roman"/>
          <w:b/>
          <w:color w:val="000000" w:themeColor="text1"/>
          <w:sz w:val="24"/>
          <w:szCs w:val="24"/>
          <w:lang w:val="pt-BR"/>
        </w:rPr>
        <w:t xml:space="preserve">PROVA DISSERTATIVA </w:t>
      </w:r>
      <w:r>
        <w:rPr>
          <w:rFonts w:cs="Times New Roman" w:ascii="Times New Roman" w:hAnsi="Times New Roman"/>
          <w:color w:val="000000" w:themeColor="text1"/>
          <w:sz w:val="24"/>
          <w:szCs w:val="24"/>
          <w:lang w:val="pt-BR"/>
        </w:rPr>
        <w:t>que pontuará os aspectos dispostos no item 8 deste Edital.</w:t>
      </w:r>
    </w:p>
    <w:p>
      <w:pPr>
        <w:pStyle w:val="ListParagraph"/>
        <w:numPr>
          <w:ilvl w:val="1"/>
          <w:numId w:val="10"/>
        </w:numPr>
        <w:spacing w:lineRule="auto" w:line="276" w:before="120" w:after="120"/>
        <w:contextualSpacing/>
        <w:jc w:val="both"/>
        <w:rPr>
          <w:rFonts w:ascii="Times New Roman" w:hAnsi="Times New Roman"/>
          <w:sz w:val="24"/>
          <w:szCs w:val="24"/>
        </w:rPr>
      </w:pPr>
      <w:r>
        <w:rPr>
          <w:rFonts w:ascii="Times New Roman" w:hAnsi="Times New Roman"/>
          <w:sz w:val="24"/>
          <w:szCs w:val="24"/>
        </w:rPr>
        <w:t>O não comparecimento do candidato para a prova dissertativa mencionada no item 8 deste edital acarretará na sua eliminação automática desta seleção.</w:t>
      </w:r>
    </w:p>
    <w:p>
      <w:pPr>
        <w:pStyle w:val="ListParagraph"/>
        <w:spacing w:lineRule="auto" w:line="276" w:before="120" w:after="120"/>
        <w:ind w:left="1129" w:hanging="0"/>
        <w:contextualSpacing/>
        <w:jc w:val="both"/>
        <w:rPr>
          <w:rFonts w:ascii="Times New Roman" w:hAnsi="Times New Roman"/>
          <w:sz w:val="24"/>
          <w:szCs w:val="24"/>
        </w:rPr>
      </w:pPr>
      <w:r>
        <w:rPr>
          <w:rFonts w:ascii="Times New Roman" w:hAnsi="Times New Roman"/>
          <w:sz w:val="24"/>
          <w:szCs w:val="24"/>
        </w:rPr>
      </w:r>
    </w:p>
    <w:p>
      <w:pPr>
        <w:pStyle w:val="ListParagraph"/>
        <w:numPr>
          <w:ilvl w:val="0"/>
          <w:numId w:val="10"/>
        </w:numPr>
        <w:spacing w:lineRule="auto" w:line="276" w:before="120" w:after="120"/>
        <w:contextualSpacing/>
        <w:jc w:val="both"/>
        <w:rPr>
          <w:rFonts w:ascii="Times New Roman" w:hAnsi="Times New Roman"/>
          <w:sz w:val="24"/>
          <w:szCs w:val="24"/>
        </w:rPr>
      </w:pPr>
      <w:r>
        <w:rPr>
          <w:rFonts w:ascii="Times New Roman" w:hAnsi="Times New Roman"/>
          <w:b/>
          <w:sz w:val="24"/>
          <w:szCs w:val="24"/>
        </w:rPr>
        <w:t>CRITÉRIOS E PONTUAÇÃO PARA AVALIAÇÃO DO CURRÍCULO</w:t>
      </w:r>
    </w:p>
    <w:p>
      <w:pPr>
        <w:pStyle w:val="NoSpacing"/>
        <w:numPr>
          <w:ilvl w:val="1"/>
          <w:numId w:val="10"/>
        </w:numPr>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simplificado consistirá na análise do currículo e prova dissertativa, pela comissão do processo seletivo designada pela Portaria nº 039/2021 – DPGE. </w:t>
      </w:r>
    </w:p>
    <w:p>
      <w:pPr>
        <w:pStyle w:val="NoSpacing"/>
        <w:numPr>
          <w:ilvl w:val="1"/>
          <w:numId w:val="10"/>
        </w:numPr>
        <w:spacing w:lineRule="auto" w:line="276"/>
        <w:jc w:val="both"/>
        <w:rPr>
          <w:rFonts w:ascii="Times New Roman" w:hAnsi="Times New Roman" w:cs="Times New Roman"/>
          <w:sz w:val="24"/>
          <w:szCs w:val="24"/>
          <w:lang w:val="pt-BR"/>
        </w:rPr>
      </w:pPr>
      <w:r>
        <w:rPr>
          <w:rFonts w:cs="Times New Roman" w:ascii="Times New Roman" w:hAnsi="Times New Roman"/>
          <w:sz w:val="24"/>
          <w:szCs w:val="24"/>
          <w:lang w:val="pt-BR"/>
        </w:rPr>
        <w:t>A avaliação do currículo lattes dos candidatos basear-se-á pelos critérios e pontuações a seguir:</w:t>
      </w:r>
    </w:p>
    <w:p>
      <w:pPr>
        <w:pStyle w:val="NoSpacing"/>
        <w:spacing w:lineRule="auto" w:line="276"/>
        <w:ind w:left="792" w:hanging="0"/>
        <w:jc w:val="both"/>
        <w:rPr>
          <w:rFonts w:ascii="Times New Roman" w:hAnsi="Times New Roman" w:cs="Times New Roman"/>
          <w:sz w:val="24"/>
          <w:szCs w:val="24"/>
          <w:lang w:val="pt-BR"/>
        </w:rPr>
      </w:pPr>
      <w:r>
        <w:rPr>
          <w:rFonts w:cs="Times New Roman" w:ascii="Times New Roman" w:hAnsi="Times New Roman"/>
          <w:sz w:val="24"/>
          <w:szCs w:val="24"/>
          <w:lang w:val="pt-BR"/>
        </w:rPr>
      </w:r>
    </w:p>
    <w:tbl>
      <w:tblPr>
        <w:tblW w:w="9133" w:type="dxa"/>
        <w:jc w:val="left"/>
        <w:tblInd w:w="-5" w:type="dxa"/>
        <w:tblCellMar>
          <w:top w:w="0" w:type="dxa"/>
          <w:left w:w="108" w:type="dxa"/>
          <w:bottom w:w="0" w:type="dxa"/>
          <w:right w:w="108" w:type="dxa"/>
        </w:tblCellMar>
        <w:tblLook w:firstRow="0" w:noVBand="0" w:lastRow="0" w:firstColumn="0" w:lastColumn="0" w:noHBand="0" w:val="0000"/>
      </w:tblPr>
      <w:tblGrid>
        <w:gridCol w:w="6218"/>
        <w:gridCol w:w="2914"/>
      </w:tblGrid>
      <w:tr>
        <w:trPr/>
        <w:tc>
          <w:tcPr>
            <w:tcW w:w="6218" w:type="dxa"/>
            <w:tcBorders>
              <w:top w:val="single" w:sz="4" w:space="0" w:color="000000"/>
              <w:left w:val="single" w:sz="4" w:space="0" w:color="000000"/>
              <w:bottom w:val="single" w:sz="4" w:space="0" w:color="000000"/>
            </w:tcBorders>
            <w:shd w:color="auto" w:fill="auto" w:val="clear"/>
          </w:tcPr>
          <w:p>
            <w:pPr>
              <w:pStyle w:val="NoSpacing"/>
              <w:jc w:val="center"/>
              <w:rPr>
                <w:rFonts w:ascii="Times New Roman" w:hAnsi="Times New Roman"/>
                <w:sz w:val="24"/>
                <w:szCs w:val="24"/>
              </w:rPr>
            </w:pPr>
            <w:r>
              <w:rPr>
                <w:rFonts w:ascii="Times New Roman" w:hAnsi="Times New Roman"/>
                <w:b/>
                <w:sz w:val="24"/>
                <w:szCs w:val="24"/>
              </w:rPr>
              <w:t>TÍTULO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center"/>
              <w:rPr>
                <w:rFonts w:ascii="Times New Roman" w:hAnsi="Times New Roman"/>
                <w:sz w:val="24"/>
                <w:szCs w:val="24"/>
              </w:rPr>
            </w:pPr>
            <w:r>
              <w:rPr>
                <w:rFonts w:ascii="Times New Roman" w:hAnsi="Times New Roman"/>
                <w:b/>
                <w:sz w:val="24"/>
                <w:szCs w:val="24"/>
              </w:rPr>
              <w:t>PONTUAÇÃO</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rPr>
                <w:rFonts w:ascii="Times New Roman" w:hAnsi="Times New Roman"/>
                <w:sz w:val="24"/>
                <w:szCs w:val="24"/>
                <w:lang w:val="pt-BR"/>
              </w:rPr>
            </w:pPr>
            <w:r>
              <w:rPr>
                <w:rFonts w:ascii="Times New Roman" w:hAnsi="Times New Roman"/>
                <w:sz w:val="24"/>
                <w:szCs w:val="24"/>
                <w:lang w:val="pt-BR"/>
              </w:rPr>
              <w:t>Atividade Jurídica em nível profissional;</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Times New Roman" w:hAnsi="Times New Roman"/>
                <w:sz w:val="24"/>
                <w:szCs w:val="24"/>
                <w:lang w:val="pt-BR"/>
              </w:rPr>
            </w:pPr>
            <w:r>
              <w:rPr>
                <w:rFonts w:ascii="Times New Roman" w:hAnsi="Times New Roman"/>
                <w:sz w:val="24"/>
                <w:szCs w:val="24"/>
                <w:lang w:val="pt-BR"/>
              </w:rPr>
              <w:t>2,0 (dois) pontos para cada ano trabalhado, com limite máximo de 10 (dez)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rPr>
                <w:rFonts w:ascii="Times New Roman" w:hAnsi="Times New Roman"/>
                <w:sz w:val="24"/>
                <w:szCs w:val="24"/>
                <w:lang w:val="pt-BR"/>
              </w:rPr>
            </w:pPr>
            <w:r>
              <w:rPr>
                <w:rFonts w:ascii="Times New Roman" w:hAnsi="Times New Roman"/>
                <w:sz w:val="24"/>
                <w:szCs w:val="24"/>
                <w:lang w:val="pt-BR"/>
              </w:rPr>
              <w:t>Experiência de Estágio Jurídico Extracurricular;</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Times New Roman" w:hAnsi="Times New Roman"/>
                <w:sz w:val="24"/>
                <w:szCs w:val="24"/>
                <w:lang w:val="pt-BR"/>
              </w:rPr>
            </w:pPr>
            <w:r>
              <w:rPr>
                <w:rFonts w:ascii="Times New Roman" w:hAnsi="Times New Roman"/>
                <w:sz w:val="24"/>
                <w:szCs w:val="24"/>
                <w:lang w:val="pt-BR"/>
              </w:rPr>
              <w:t>1,0 (um) ponto para cada semestre de estágio, com limite máximo de 6 (seis)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rPr>
                <w:rFonts w:ascii="Times New Roman" w:hAnsi="Times New Roman"/>
                <w:sz w:val="24"/>
                <w:szCs w:val="24"/>
                <w:lang w:val="pt-BR"/>
              </w:rPr>
            </w:pPr>
            <w:r>
              <w:rPr>
                <w:rFonts w:ascii="Times New Roman" w:hAnsi="Times New Roman"/>
                <w:sz w:val="24"/>
                <w:szCs w:val="24"/>
                <w:lang w:val="pt-BR"/>
              </w:rPr>
              <w:t>Pós-Graduação “Lato Sensu”, em nível de Especialização na área de Direito;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Times New Roman" w:hAnsi="Times New Roman"/>
                <w:sz w:val="24"/>
                <w:szCs w:val="24"/>
                <w:lang w:val="pt-BR"/>
              </w:rPr>
            </w:pPr>
            <w:r>
              <w:rPr>
                <w:rFonts w:ascii="Times New Roman" w:hAnsi="Times New Roman"/>
                <w:sz w:val="24"/>
                <w:szCs w:val="24"/>
                <w:lang w:val="pt-BR"/>
              </w:rPr>
              <w:t>3,0 (três) pontos, com limite máximo de 06 (seis)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rPr>
                <w:rFonts w:ascii="Times New Roman" w:hAnsi="Times New Roman"/>
                <w:sz w:val="24"/>
                <w:szCs w:val="24"/>
                <w:lang w:val="pt-BR"/>
              </w:rPr>
            </w:pPr>
            <w:r>
              <w:rPr>
                <w:rFonts w:ascii="Times New Roman" w:hAnsi="Times New Roman"/>
                <w:sz w:val="24"/>
                <w:szCs w:val="24"/>
                <w:lang w:val="pt-BR"/>
              </w:rPr>
              <w:t>Pós-Graduação “Stricto Sensu”, em nível de Mestrado na área de Direito;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Times New Roman" w:hAnsi="Times New Roman"/>
                <w:sz w:val="24"/>
                <w:szCs w:val="24"/>
                <w:lang w:val="pt-BR"/>
              </w:rPr>
            </w:pPr>
            <w:r>
              <w:rPr>
                <w:rFonts w:ascii="Times New Roman" w:hAnsi="Times New Roman"/>
                <w:sz w:val="24"/>
                <w:szCs w:val="24"/>
                <w:lang w:val="pt-BR"/>
              </w:rPr>
              <w:t>6,0 (seis) pontos, com limite máximo de 06 (seis)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rPr>
                <w:rFonts w:ascii="Times New Roman" w:hAnsi="Times New Roman"/>
                <w:sz w:val="24"/>
                <w:szCs w:val="24"/>
              </w:rPr>
            </w:pPr>
            <w:r>
              <w:rPr>
                <w:rFonts w:ascii="Times New Roman" w:hAnsi="Times New Roman"/>
                <w:sz w:val="24"/>
                <w:szCs w:val="24"/>
              </w:rPr>
              <w:t>Publicação de Artigo Jurídico;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Times New Roman" w:hAnsi="Times New Roman"/>
                <w:sz w:val="24"/>
                <w:szCs w:val="24"/>
                <w:lang w:val="pt-BR"/>
              </w:rPr>
            </w:pPr>
            <w:r>
              <w:rPr>
                <w:rFonts w:ascii="Times New Roman" w:hAnsi="Times New Roman"/>
                <w:sz w:val="24"/>
                <w:szCs w:val="24"/>
                <w:lang w:val="pt-BR"/>
              </w:rPr>
              <w:t>1,0 (um) ponto por artigo, com limite máximo de 06 (seis)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Spacing"/>
              <w:jc w:val="both"/>
              <w:rPr>
                <w:rFonts w:ascii="Times New Roman" w:hAnsi="Times New Roman"/>
                <w:sz w:val="24"/>
                <w:szCs w:val="24"/>
                <w:lang w:val="pt-BR"/>
              </w:rPr>
            </w:pPr>
            <w:r>
              <w:rPr>
                <w:rFonts w:ascii="Times New Roman" w:hAnsi="Times New Roman"/>
                <w:sz w:val="24"/>
                <w:szCs w:val="24"/>
                <w:lang w:val="pt-BR"/>
              </w:rPr>
              <w:t>Participação em grupos de estudos ou Exercício da função de monitoria na área de Direito, vinculados a Instituição de Ensino Superior;</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Times New Roman" w:hAnsi="Times New Roman"/>
                <w:sz w:val="24"/>
                <w:szCs w:val="24"/>
                <w:lang w:val="pt-BR"/>
              </w:rPr>
            </w:pPr>
            <w:r>
              <w:rPr>
                <w:rFonts w:ascii="Times New Roman" w:hAnsi="Times New Roman"/>
                <w:sz w:val="24"/>
                <w:szCs w:val="24"/>
                <w:lang w:val="pt-BR"/>
              </w:rPr>
              <w:t>1,0 (um) ponto por monitoria ou grupo de estudo, com limite máximo de 6 (seis) pontos;</w:t>
            </w:r>
          </w:p>
        </w:tc>
      </w:tr>
    </w:tbl>
    <w:p>
      <w:pPr>
        <w:pStyle w:val="NoSpacing"/>
        <w:spacing w:lineRule="auto" w:line="276"/>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2"/>
          <w:numId w:val="11"/>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ATIVIDADE JURÍDICA</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de órgão ou entidade pública que comprove o exercício e tempo da atividade jurídica, com detalhamento das atividades desempenhadas</w:t>
      </w:r>
      <w:r>
        <w:rPr>
          <w:rFonts w:ascii="Times New Roman" w:hAnsi="Times New Roman"/>
          <w:color w:val="000000" w:themeColor="text1"/>
          <w:sz w:val="24"/>
          <w:szCs w:val="24"/>
        </w:rPr>
        <w:t xml:space="preserve">. No caso de advocacia, o candidato deverá </w:t>
      </w:r>
      <w:r>
        <w:rPr>
          <w:rFonts w:ascii="Times New Roman" w:hAnsi="Times New Roman"/>
          <w:b/>
          <w:bCs/>
          <w:color w:val="000000" w:themeColor="text1"/>
          <w:sz w:val="24"/>
          <w:szCs w:val="24"/>
        </w:rPr>
        <w:t xml:space="preserve">anexar os protocolos de cinco petições em processos </w:t>
      </w:r>
      <w:r>
        <w:rPr>
          <w:rFonts w:ascii="Times New Roman" w:hAnsi="Times New Roman"/>
          <w:b/>
          <w:bCs/>
          <w:color w:val="000000" w:themeColor="text1"/>
          <w:sz w:val="24"/>
          <w:szCs w:val="24"/>
          <w:u w:val="single"/>
        </w:rPr>
        <w:t>distintos</w:t>
      </w:r>
      <w:r>
        <w:rPr>
          <w:rFonts w:ascii="Times New Roman" w:hAnsi="Times New Roman"/>
          <w:b/>
          <w:bCs/>
          <w:color w:val="000000" w:themeColor="text1"/>
          <w:sz w:val="24"/>
          <w:szCs w:val="24"/>
        </w:rPr>
        <w:t xml:space="preserve"> em cada ano. </w:t>
      </w:r>
    </w:p>
    <w:p>
      <w:pPr>
        <w:pStyle w:val="ListParagraph"/>
        <w:numPr>
          <w:ilvl w:val="2"/>
          <w:numId w:val="11"/>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color w:val="000000" w:themeColor="text1"/>
          <w:sz w:val="24"/>
          <w:szCs w:val="24"/>
        </w:rPr>
        <w:t>EXPERIÊNCIA DE ESTÁGIO EXTRACURRICULAR</w:t>
      </w:r>
      <w:r>
        <w:rPr>
          <w:rFonts w:ascii="Times New Roman" w:hAnsi="Times New Roman"/>
          <w:color w:val="000000" w:themeColor="text1"/>
          <w:sz w:val="24"/>
          <w:szCs w:val="24"/>
        </w:rPr>
        <w:t xml:space="preserve">, o candidato deverá anexar declaração do órgão ou do escritório que comprove o exercício e tempo de estágio, com detalhamento das atividades desempenhadas. Considera-se </w:t>
      </w:r>
      <w:r>
        <w:rPr>
          <w:rFonts w:ascii="Times New Roman" w:hAnsi="Times New Roman"/>
          <w:b/>
          <w:color w:val="000000" w:themeColor="text1"/>
          <w:sz w:val="24"/>
          <w:szCs w:val="24"/>
        </w:rPr>
        <w:t>SEMESTRE</w:t>
      </w:r>
      <w:r>
        <w:rPr>
          <w:rFonts w:ascii="Times New Roman" w:hAnsi="Times New Roman"/>
          <w:color w:val="000000" w:themeColor="text1"/>
          <w:sz w:val="24"/>
          <w:szCs w:val="24"/>
        </w:rPr>
        <w:t xml:space="preserve"> o período mínimo de seis meses. </w:t>
      </w:r>
    </w:p>
    <w:p>
      <w:pPr>
        <w:pStyle w:val="ListParagraph"/>
        <w:numPr>
          <w:ilvl w:val="2"/>
          <w:numId w:val="11"/>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Para comprovar</w:t>
      </w:r>
      <w:r>
        <w:rPr>
          <w:rFonts w:ascii="Times New Roman" w:hAnsi="Times New Roman"/>
          <w:sz w:val="24"/>
          <w:szCs w:val="24"/>
        </w:rPr>
        <w:t xml:space="preserve"> o item </w:t>
      </w:r>
      <w:r>
        <w:rPr>
          <w:rFonts w:ascii="Times New Roman" w:hAnsi="Times New Roman"/>
          <w:b/>
          <w:bCs/>
          <w:color w:val="000000" w:themeColor="text1"/>
          <w:sz w:val="24"/>
          <w:szCs w:val="24"/>
        </w:rPr>
        <w:t>PÓS-GRADUAÇÃO “LATO SENSU”,</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apresentar Certificado ou Declaração de Conclusão do Curso, com reconhecimento pelo MEC e comprovação da carga horária de 360 horas/aula</w:t>
      </w:r>
      <w:r>
        <w:rPr>
          <w:rFonts w:ascii="Times New Roman" w:hAnsi="Times New Roman"/>
          <w:color w:val="000000" w:themeColor="text1"/>
          <w:sz w:val="24"/>
          <w:szCs w:val="24"/>
        </w:rPr>
        <w:t xml:space="preserve">. </w:t>
      </w:r>
    </w:p>
    <w:p>
      <w:pPr>
        <w:pStyle w:val="ListParagraph"/>
        <w:numPr>
          <w:ilvl w:val="2"/>
          <w:numId w:val="11"/>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 xml:space="preserve">PÓS-GRADUAÇÃO “STRICTO SENSU”, </w:t>
      </w:r>
      <w:r>
        <w:rPr>
          <w:rFonts w:ascii="Times New Roman" w:hAnsi="Times New Roman"/>
          <w:color w:val="000000" w:themeColor="text1"/>
          <w:sz w:val="24"/>
          <w:szCs w:val="24"/>
        </w:rPr>
        <w:t xml:space="preserve">o candidato deverá </w:t>
      </w:r>
      <w:r>
        <w:rPr>
          <w:rFonts w:ascii="Times New Roman" w:hAnsi="Times New Roman"/>
          <w:b/>
          <w:bCs/>
          <w:color w:val="000000" w:themeColor="text1"/>
          <w:sz w:val="24"/>
          <w:szCs w:val="24"/>
        </w:rPr>
        <w:t>apresentar Certificado ou Declaração de Conclusão do Curso, com reconhecimento pelo MEC.</w:t>
      </w:r>
    </w:p>
    <w:p>
      <w:pPr>
        <w:pStyle w:val="ListParagraph"/>
        <w:numPr>
          <w:ilvl w:val="2"/>
          <w:numId w:val="11"/>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sz w:val="24"/>
          <w:szCs w:val="24"/>
        </w:rPr>
        <w:t xml:space="preserve">Para comprovar a </w:t>
      </w:r>
      <w:r>
        <w:rPr>
          <w:rFonts w:ascii="Times New Roman" w:hAnsi="Times New Roman"/>
          <w:b/>
          <w:bCs/>
          <w:sz w:val="24"/>
          <w:szCs w:val="24"/>
        </w:rPr>
        <w:t>PUBLICAÇÃO DE ARTIGO</w:t>
      </w:r>
      <w:r>
        <w:rPr>
          <w:rFonts w:ascii="Times New Roman" w:hAnsi="Times New Roman"/>
          <w:sz w:val="24"/>
          <w:szCs w:val="24"/>
        </w:rPr>
        <w:t xml:space="preserve">, o candidato deverá </w:t>
      </w:r>
      <w:r>
        <w:rPr>
          <w:rFonts w:ascii="Times New Roman" w:hAnsi="Times New Roman"/>
          <w:b/>
          <w:bCs/>
          <w:sz w:val="24"/>
          <w:szCs w:val="24"/>
        </w:rPr>
        <w:t xml:space="preserve">apresentar cópia da capa e sumário de publicação e comprovação do </w:t>
      </w:r>
      <w:r>
        <w:rPr>
          <w:rFonts w:ascii="Times New Roman" w:hAnsi="Times New Roman"/>
          <w:b/>
          <w:bCs/>
          <w:i/>
          <w:iCs/>
          <w:sz w:val="24"/>
          <w:szCs w:val="24"/>
        </w:rPr>
        <w:t xml:space="preserve">Qualis </w:t>
      </w:r>
      <w:r>
        <w:rPr>
          <w:rFonts w:ascii="Times New Roman" w:hAnsi="Times New Roman"/>
          <w:b/>
          <w:bCs/>
          <w:sz w:val="24"/>
          <w:szCs w:val="24"/>
        </w:rPr>
        <w:t>da publicação</w:t>
      </w:r>
      <w:r>
        <w:rPr>
          <w:rFonts w:ascii="Times New Roman" w:hAnsi="Times New Roman"/>
          <w:sz w:val="24"/>
          <w:szCs w:val="24"/>
        </w:rPr>
        <w:t xml:space="preserve">; </w:t>
      </w:r>
    </w:p>
    <w:p>
      <w:pPr>
        <w:pStyle w:val="ListParagraph"/>
        <w:numPr>
          <w:ilvl w:val="2"/>
          <w:numId w:val="11"/>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sz w:val="24"/>
          <w:szCs w:val="24"/>
        </w:rPr>
        <w:t xml:space="preserve">Para comprovar o </w:t>
      </w:r>
      <w:r>
        <w:rPr>
          <w:rFonts w:ascii="Times New Roman" w:hAnsi="Times New Roman"/>
          <w:b/>
          <w:bCs/>
          <w:sz w:val="24"/>
          <w:szCs w:val="24"/>
        </w:rPr>
        <w:t>EXERCÍCIO DA ATIVIDADE DE MONITORIA OU PARTICIPAÇÃO EM GRUPOS DE PESQUISAS</w:t>
      </w:r>
      <w:r>
        <w:rPr>
          <w:rFonts w:ascii="Times New Roman" w:hAnsi="Times New Roman"/>
          <w:sz w:val="24"/>
          <w:szCs w:val="24"/>
        </w:rPr>
        <w:t xml:space="preserve">, o candidato deverá </w:t>
      </w:r>
      <w:r>
        <w:rPr>
          <w:rFonts w:ascii="Times New Roman" w:hAnsi="Times New Roman"/>
          <w:b/>
          <w:bCs/>
          <w:sz w:val="24"/>
          <w:szCs w:val="24"/>
        </w:rPr>
        <w:t>apresentar declaração emitida pela Instituição de Ensino Superior ou pelo professor responsável</w:t>
      </w:r>
      <w:r>
        <w:rPr>
          <w:rFonts w:ascii="Times New Roman" w:hAnsi="Times New Roman"/>
          <w:sz w:val="24"/>
          <w:szCs w:val="24"/>
        </w:rPr>
        <w:t>.</w:t>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11"/>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w:t>
      </w:r>
      <w:r>
        <w:rPr>
          <w:rFonts w:ascii="Times New Roman" w:hAnsi="Times New Roman"/>
          <w:b/>
          <w:color w:val="000000" w:themeColor="text1"/>
          <w:sz w:val="24"/>
          <w:szCs w:val="24"/>
        </w:rPr>
        <w:t>ATIVIDADE JURÍDICA</w:t>
      </w:r>
      <w:r>
        <w:rPr>
          <w:rFonts w:ascii="Times New Roman" w:hAnsi="Times New Roman"/>
          <w:color w:val="000000" w:themeColor="text1"/>
          <w:sz w:val="24"/>
          <w:szCs w:val="24"/>
        </w:rPr>
        <w:t xml:space="preserve"> de que trata o item 7.2.1 de Edital, compreende:</w:t>
      </w:r>
    </w:p>
    <w:p>
      <w:pPr>
        <w:pStyle w:val="ListParagraph"/>
        <w:numPr>
          <w:ilvl w:val="2"/>
          <w:numId w:val="11"/>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Aquela exercida com exclusividade por bacharel em Direito;</w:t>
      </w:r>
    </w:p>
    <w:p>
      <w:pPr>
        <w:pStyle w:val="ListParagraph"/>
        <w:numPr>
          <w:ilvl w:val="2"/>
          <w:numId w:val="11"/>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efetivo exercício de advocacia, inclusive voluntária, mediante a participação anual mínima em 5 (cinco) atos privativos de advogado (Lei nº 8.906, 4 de julho de 1994, art. 1º) em causas ou questões distintas;</w:t>
      </w:r>
    </w:p>
    <w:p>
      <w:pPr>
        <w:pStyle w:val="ListParagraph"/>
        <w:numPr>
          <w:ilvl w:val="2"/>
          <w:numId w:val="11"/>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exercício de cargos, empregos ou funções, inclusive de magistério superior, que exija a utilização preponderante de conhecimento jurídico;</w:t>
      </w:r>
    </w:p>
    <w:p>
      <w:pPr>
        <w:pStyle w:val="ListParagraph"/>
        <w:numPr>
          <w:ilvl w:val="2"/>
          <w:numId w:val="11"/>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exercício da função de conciliador junto a tribunais judiciais, juizados especiais, varas especiais, anexos de juizados especiais ou de varas judiciais, no mínimo por 16 (dezesseis) horas mensais e durante 1 (um) ano;</w:t>
      </w:r>
    </w:p>
    <w:p>
      <w:pPr>
        <w:pStyle w:val="ListParagraph"/>
        <w:numPr>
          <w:ilvl w:val="2"/>
          <w:numId w:val="11"/>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exercício da atividade de mediação ou de arbitragem na composição de litígios, mediante a participação anual mínima em 05</w:t>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(cinco) atos.</w:t>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CRITÉRIOS E PONTUAÇÃO PARA A PROVA DISSERTATIVA</w:t>
      </w:r>
    </w:p>
    <w:p>
      <w:pPr>
        <w:pStyle w:val="NoSpacing"/>
        <w:numPr>
          <w:ilvl w:val="1"/>
          <w:numId w:val="10"/>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classificados para a fase de Prova Dissertativa os 30 (trinta) candidatos com as melhores notas da fase de análise curricular: </w:t>
      </w:r>
    </w:p>
    <w:tbl>
      <w:tblPr>
        <w:tblStyle w:val="Tabelacomgrade"/>
        <w:tblW w:w="7016" w:type="dxa"/>
        <w:jc w:val="left"/>
        <w:tblInd w:w="1478" w:type="dxa"/>
        <w:tblCellMar>
          <w:top w:w="0" w:type="dxa"/>
          <w:left w:w="108" w:type="dxa"/>
          <w:bottom w:w="0" w:type="dxa"/>
          <w:right w:w="108" w:type="dxa"/>
        </w:tblCellMar>
        <w:tblLook w:firstRow="1" w:noVBand="1" w:lastRow="0" w:firstColumn="1" w:lastColumn="0" w:noHBand="0" w:val="04a0"/>
      </w:tblPr>
      <w:tblGrid>
        <w:gridCol w:w="3634"/>
        <w:gridCol w:w="3381"/>
      </w:tblGrid>
      <w:tr>
        <w:trPr/>
        <w:tc>
          <w:tcPr>
            <w:tcW w:w="3634" w:type="dxa"/>
            <w:tcBorders/>
          </w:tcPr>
          <w:p>
            <w:pPr>
              <w:pStyle w:val="NoSpacing"/>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AMPLA CONCORRÊNCIA</w:t>
            </w:r>
          </w:p>
        </w:tc>
        <w:tc>
          <w:tcPr>
            <w:tcW w:w="3381" w:type="dxa"/>
            <w:tcBorders/>
          </w:tcPr>
          <w:p>
            <w:pPr>
              <w:pStyle w:val="NoSpacing"/>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27 (vinte e sete) convocados</w:t>
            </w:r>
          </w:p>
        </w:tc>
      </w:tr>
      <w:tr>
        <w:trPr/>
        <w:tc>
          <w:tcPr>
            <w:tcW w:w="3634" w:type="dxa"/>
            <w:tcBorders/>
          </w:tcPr>
          <w:p>
            <w:pPr>
              <w:pStyle w:val="NoSpacing"/>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PcD</w:t>
            </w:r>
          </w:p>
        </w:tc>
        <w:tc>
          <w:tcPr>
            <w:tcW w:w="3381" w:type="dxa"/>
            <w:tcBorders/>
          </w:tcPr>
          <w:p>
            <w:pPr>
              <w:pStyle w:val="NoSpacing"/>
              <w:numPr>
                <w:ilvl w:val="0"/>
                <w:numId w:val="15"/>
              </w:numPr>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(três) convocados</w:t>
            </w:r>
          </w:p>
        </w:tc>
      </w:tr>
    </w:tbl>
    <w:p>
      <w:pPr>
        <w:pStyle w:val="Normal"/>
        <w:rPr>
          <w:rFonts w:ascii="Times New Roman" w:hAnsi="Times New Roman" w:eastAsia="Calibri" w:eastAsiaTheme="minorHAnsi"/>
          <w:color w:val="000000" w:themeColor="text1"/>
          <w:sz w:val="24"/>
          <w:szCs w:val="24"/>
        </w:rPr>
      </w:pPr>
      <w:r>
        <w:rPr>
          <w:rFonts w:eastAsia="Calibri" w:eastAsiaTheme="minorHAnsi" w:ascii="Times New Roman" w:hAnsi="Times New Roman"/>
          <w:color w:val="000000" w:themeColor="text1"/>
          <w:sz w:val="24"/>
          <w:szCs w:val="24"/>
        </w:rPr>
      </w:r>
    </w:p>
    <w:p>
      <w:pPr>
        <w:pStyle w:val="Normal"/>
        <w:ind w:left="360" w:hanging="0"/>
        <w:jc w:val="both"/>
        <w:rPr>
          <w:rFonts w:ascii="Times New Roman" w:hAnsi="Times New Roman" w:eastAsia="Calibri" w:eastAsiaTheme="minorHAnsi"/>
          <w:color w:val="000000" w:themeColor="text1"/>
          <w:sz w:val="24"/>
          <w:szCs w:val="24"/>
        </w:rPr>
      </w:pPr>
      <w:r>
        <w:rPr>
          <w:rFonts w:eastAsia="Calibri" w:ascii="Times New Roman" w:hAnsi="Times New Roman" w:eastAsiaTheme="minorHAnsi"/>
          <w:color w:val="000000" w:themeColor="text1"/>
          <w:sz w:val="24"/>
          <w:szCs w:val="24"/>
        </w:rPr>
        <w:t xml:space="preserve">8.2 A Prova Dissertativa obedecerá ao cronograma com dia, horário e local a ser divulgado no site da </w:t>
      </w:r>
      <w:hyperlink r:id="rId8">
        <w:r>
          <w:rPr>
            <w:rStyle w:val="LinkdaInternet"/>
            <w:rFonts w:eastAsia="Calibri" w:ascii="Times New Roman" w:hAnsi="Times New Roman" w:eastAsiaTheme="minorHAnsi"/>
            <w:sz w:val="24"/>
            <w:szCs w:val="24"/>
          </w:rPr>
          <w:t>DEFENSORIA PÚBLICA</w:t>
        </w:r>
      </w:hyperlink>
      <w:r>
        <w:rPr>
          <w:rFonts w:eastAsia="Calibri" w:ascii="Times New Roman" w:hAnsi="Times New Roman" w:eastAsiaTheme="minorHAnsi"/>
          <w:color w:val="000000" w:themeColor="text1"/>
          <w:sz w:val="24"/>
          <w:szCs w:val="24"/>
        </w:rPr>
        <w:t>;</w:t>
      </w:r>
    </w:p>
    <w:p>
      <w:pPr>
        <w:pStyle w:val="ListParagraph"/>
        <w:numPr>
          <w:ilvl w:val="1"/>
          <w:numId w:val="16"/>
        </w:numPr>
        <w:jc w:val="both"/>
        <w:rPr>
          <w:rFonts w:ascii="Times New Roman" w:hAnsi="Times New Roman" w:eastAsia="Calibri" w:eastAsiaTheme="minorHAnsi"/>
          <w:color w:val="000000" w:themeColor="text1"/>
          <w:sz w:val="24"/>
          <w:szCs w:val="24"/>
        </w:rPr>
      </w:pPr>
      <w:r>
        <w:rPr>
          <w:rFonts w:eastAsia="Calibri" w:ascii="Times New Roman" w:hAnsi="Times New Roman" w:eastAsiaTheme="minorHAnsi"/>
          <w:color w:val="000000" w:themeColor="text1"/>
          <w:sz w:val="24"/>
          <w:szCs w:val="24"/>
        </w:rPr>
        <w:t>Os candidatos deverão comparecer na data e no local designado, com trinta minutos de antecedência, munidos do comprovante de inscrição com foto, documento de identidade original;</w:t>
      </w:r>
    </w:p>
    <w:p>
      <w:pPr>
        <w:pStyle w:val="NoSpacing"/>
        <w:numPr>
          <w:ilvl w:val="1"/>
          <w:numId w:val="16"/>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w:t>
      </w:r>
      <w:r>
        <w:rPr>
          <w:rFonts w:cs="Times New Roman" w:ascii="Times New Roman" w:hAnsi="Times New Roman"/>
          <w:b/>
          <w:color w:val="000000" w:themeColor="text1"/>
          <w:sz w:val="24"/>
          <w:szCs w:val="24"/>
          <w:lang w:val="pt-BR"/>
        </w:rPr>
        <w:t xml:space="preserve">PROVA DISSERTATIVA </w:t>
      </w:r>
      <w:r>
        <w:rPr>
          <w:rFonts w:cs="Times New Roman" w:ascii="Times New Roman" w:hAnsi="Times New Roman"/>
          <w:color w:val="000000" w:themeColor="text1"/>
          <w:sz w:val="24"/>
          <w:szCs w:val="24"/>
          <w:lang w:val="pt-BR"/>
        </w:rPr>
        <w:t xml:space="preserve">consistirá em duas questões dissertativas, conforme </w:t>
      </w:r>
      <w:r>
        <w:rPr>
          <w:rFonts w:cs="Times New Roman" w:ascii="Times New Roman" w:hAnsi="Times New Roman"/>
          <w:b/>
          <w:color w:val="000000" w:themeColor="text1"/>
          <w:sz w:val="24"/>
          <w:szCs w:val="24"/>
          <w:lang w:val="pt-BR"/>
        </w:rPr>
        <w:t>CONTEÚDO PROGRAMÁTICO DO ANEXO II</w:t>
      </w:r>
      <w:r>
        <w:rPr>
          <w:rFonts w:cs="Times New Roman" w:ascii="Times New Roman" w:hAnsi="Times New Roman"/>
          <w:color w:val="000000" w:themeColor="text1"/>
          <w:sz w:val="24"/>
          <w:szCs w:val="24"/>
          <w:lang w:val="pt-BR"/>
        </w:rPr>
        <w:t>;</w:t>
      </w:r>
    </w:p>
    <w:p>
      <w:pPr>
        <w:pStyle w:val="NoSpacing"/>
        <w:numPr>
          <w:ilvl w:val="1"/>
          <w:numId w:val="16"/>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w:t>
      </w:r>
      <w:r>
        <w:rPr>
          <w:rFonts w:cs="Times New Roman" w:ascii="Times New Roman" w:hAnsi="Times New Roman"/>
          <w:b/>
          <w:color w:val="000000" w:themeColor="text1"/>
          <w:sz w:val="24"/>
          <w:szCs w:val="24"/>
          <w:lang w:val="pt-BR"/>
        </w:rPr>
        <w:t>PROVA DISSERTIVA</w:t>
      </w:r>
      <w:r>
        <w:rPr>
          <w:rFonts w:cs="Times New Roman" w:ascii="Times New Roman" w:hAnsi="Times New Roman"/>
          <w:color w:val="000000" w:themeColor="text1"/>
          <w:sz w:val="24"/>
          <w:szCs w:val="24"/>
          <w:lang w:val="pt-BR"/>
        </w:rPr>
        <w:t xml:space="preserve"> deverá ser manuscrita, em letra legível, com caneta esferográfica de tinta azul ou preta,</w:t>
      </w:r>
      <w:r>
        <w:rPr>
          <w:lang w:val="pt-BR"/>
        </w:rPr>
        <w:t xml:space="preserve"> </w:t>
      </w:r>
      <w:r>
        <w:rPr>
          <w:rFonts w:cs="Times New Roman" w:ascii="Times New Roman" w:hAnsi="Times New Roman"/>
          <w:color w:val="000000" w:themeColor="text1"/>
          <w:sz w:val="24"/>
          <w:szCs w:val="24"/>
          <w:lang w:val="pt-BR"/>
        </w:rPr>
        <w:t>não sendo permitida a participação de outras pessoas, salvo em caso de examinando com deficiência que solicitou atendimento especial.</w:t>
      </w:r>
    </w:p>
    <w:p>
      <w:pPr>
        <w:pStyle w:val="NoSpacing"/>
        <w:numPr>
          <w:ilvl w:val="1"/>
          <w:numId w:val="16"/>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 </w:t>
      </w:r>
      <w:r>
        <w:rPr>
          <w:rFonts w:cs="Times New Roman" w:ascii="Times New Roman" w:hAnsi="Times New Roman"/>
          <w:color w:val="000000" w:themeColor="text1"/>
          <w:sz w:val="24"/>
          <w:szCs w:val="24"/>
          <w:lang w:val="pt-BR"/>
        </w:rPr>
        <w:t xml:space="preserve">Para ser aprovado, o candidato deverá atingir, na </w:t>
      </w:r>
      <w:r>
        <w:rPr>
          <w:rFonts w:cs="Times New Roman" w:ascii="Times New Roman" w:hAnsi="Times New Roman"/>
          <w:b/>
          <w:color w:val="000000" w:themeColor="text1"/>
          <w:sz w:val="24"/>
          <w:szCs w:val="24"/>
          <w:lang w:val="pt-BR"/>
        </w:rPr>
        <w:t>PROVA DISSERTATIVA</w:t>
      </w:r>
      <w:r>
        <w:rPr>
          <w:rFonts w:cs="Times New Roman" w:ascii="Times New Roman" w:hAnsi="Times New Roman"/>
          <w:color w:val="000000" w:themeColor="text1"/>
          <w:sz w:val="24"/>
          <w:szCs w:val="24"/>
          <w:lang w:val="pt-BR"/>
        </w:rPr>
        <w:t>, a nota mínima de 30 (trinta) pontos.</w:t>
      </w:r>
    </w:p>
    <w:p>
      <w:pPr>
        <w:pStyle w:val="NoSpacing"/>
        <w:numPr>
          <w:ilvl w:val="1"/>
          <w:numId w:val="16"/>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Ao receber a prova, deverá o candidato preencher, no campo adequado, apenas o seu número de inscrição, evitando rasuras.</w:t>
      </w:r>
    </w:p>
    <w:p>
      <w:pPr>
        <w:pStyle w:val="NoSpacing"/>
        <w:numPr>
          <w:ilvl w:val="1"/>
          <w:numId w:val="16"/>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não comparecimento do candidato à </w:t>
      </w:r>
      <w:r>
        <w:rPr>
          <w:rFonts w:cs="Times New Roman" w:ascii="Times New Roman" w:hAnsi="Times New Roman"/>
          <w:b/>
          <w:color w:val="000000" w:themeColor="text1"/>
          <w:sz w:val="24"/>
          <w:szCs w:val="24"/>
          <w:lang w:val="pt-BR"/>
        </w:rPr>
        <w:t>PROVA DISSERTATIVA</w:t>
      </w:r>
      <w:r>
        <w:rPr>
          <w:rFonts w:cs="Times New Roman" w:ascii="Times New Roman" w:hAnsi="Times New Roman"/>
          <w:color w:val="000000" w:themeColor="text1"/>
          <w:sz w:val="24"/>
          <w:szCs w:val="24"/>
          <w:lang w:val="pt-BR"/>
        </w:rPr>
        <w:t xml:space="preserve"> implicará em sua eliminação automática;</w:t>
      </w:r>
    </w:p>
    <w:p>
      <w:pPr>
        <w:pStyle w:val="NoSpacing"/>
        <w:numPr>
          <w:ilvl w:val="1"/>
          <w:numId w:val="16"/>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Na correção das questões, serão analisados o nível de conhecimento da matéria, a técnica de redação, exposição e a correção no uso do vernáculo, observadas a adequação do conteúdo à questão proposta, a pertinência e a relevância dos aspectos abordados.</w:t>
      </w:r>
    </w:p>
    <w:p>
      <w:pPr>
        <w:pStyle w:val="NoSpacing"/>
        <w:numPr>
          <w:ilvl w:val="1"/>
          <w:numId w:val="16"/>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 nota final do seletivo é composta pela soma da nota da avaliação curricular e da nota da prova dissertativa;</w:t>
      </w:r>
    </w:p>
    <w:p>
      <w:pPr>
        <w:pStyle w:val="NoSpacing"/>
        <w:numPr>
          <w:ilvl w:val="1"/>
          <w:numId w:val="16"/>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aprovados os candidatos com as 20 (vinte) maiores notas finais. </w:t>
      </w:r>
    </w:p>
    <w:p>
      <w:pPr>
        <w:pStyle w:val="NoSpacing"/>
        <w:numPr>
          <w:ilvl w:val="0"/>
          <w:numId w:val="16"/>
        </w:numPr>
        <w:spacing w:lineRule="auto" w:line="276" w:before="0" w:after="240"/>
        <w:jc w:val="both"/>
        <w:rPr>
          <w:rFonts w:ascii="Times New Roman" w:hAnsi="Times New Roman" w:cs="Times New Roman"/>
          <w:b/>
          <w:b/>
          <w:sz w:val="24"/>
          <w:szCs w:val="24"/>
          <w:lang w:val="pt-BR" w:eastAsia="pt-BR"/>
        </w:rPr>
      </w:pPr>
      <w:r>
        <w:rPr>
          <w:rFonts w:cs="Times New Roman" w:ascii="Times New Roman" w:hAnsi="Times New Roman"/>
          <w:b/>
          <w:sz w:val="24"/>
          <w:szCs w:val="24"/>
          <w:lang w:val="pt-BR" w:eastAsia="pt-BR"/>
        </w:rPr>
        <w:t>DOS CRITÉRIOS DE DESEMPATE</w:t>
      </w:r>
    </w:p>
    <w:p>
      <w:pPr>
        <w:pStyle w:val="NoSpacing"/>
        <w:numPr>
          <w:ilvl w:val="1"/>
          <w:numId w:val="12"/>
        </w:numPr>
        <w:spacing w:lineRule="auto" w:line="276" w:before="0" w:after="240"/>
        <w:jc w:val="both"/>
        <w:rPr>
          <w:rFonts w:ascii="Times New Roman" w:hAnsi="Times New Roman" w:cs="Times New Roman"/>
          <w:b/>
          <w:b/>
          <w:sz w:val="24"/>
          <w:szCs w:val="24"/>
          <w:lang w:val="pt-BR" w:eastAsia="pt-BR"/>
        </w:rPr>
      </w:pPr>
      <w:r>
        <w:rPr>
          <w:rFonts w:cs="Times New Roman" w:ascii="Times New Roman" w:hAnsi="Times New Roman"/>
          <w:sz w:val="24"/>
          <w:szCs w:val="24"/>
          <w:lang w:val="pt-BR" w:eastAsia="pt-BR"/>
        </w:rPr>
        <w:t xml:space="preserve"> </w:t>
      </w:r>
      <w:r>
        <w:rPr>
          <w:rFonts w:cs="Times New Roman" w:ascii="Times New Roman" w:hAnsi="Times New Roman"/>
          <w:sz w:val="24"/>
          <w:szCs w:val="24"/>
          <w:lang w:val="pt-BR" w:eastAsia="pt-BR"/>
        </w:rPr>
        <w:t>Ocorrendo empate na fase de Análise Curricular, serão critérios de desempate:</w:t>
      </w:r>
    </w:p>
    <w:p>
      <w:pPr>
        <w:pStyle w:val="NoSpacing"/>
        <w:numPr>
          <w:ilvl w:val="2"/>
          <w:numId w:val="12"/>
        </w:numPr>
        <w:spacing w:lineRule="auto" w:line="276"/>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t>Idade mais avançada;</w:t>
      </w:r>
    </w:p>
    <w:p>
      <w:pPr>
        <w:pStyle w:val="NoSpacing"/>
        <w:numPr>
          <w:ilvl w:val="2"/>
          <w:numId w:val="12"/>
        </w:numPr>
        <w:spacing w:lineRule="auto" w:line="276"/>
        <w:jc w:val="both"/>
        <w:rPr>
          <w:rFonts w:ascii="Times New Roman" w:hAnsi="Times New Roman" w:cs="Times New Roman"/>
          <w:sz w:val="24"/>
          <w:szCs w:val="24"/>
          <w:lang w:val="pt-BR" w:eastAsia="pt-BR"/>
        </w:rPr>
      </w:pPr>
      <w:r>
        <w:rPr>
          <w:rFonts w:cs="Times New Roman" w:ascii="Times New Roman" w:hAnsi="Times New Roman"/>
          <w:w w:val="102"/>
          <w:sz w:val="24"/>
          <w:szCs w:val="24"/>
          <w:lang w:val="pt-BR"/>
        </w:rPr>
        <w:t>Experiência Profissional;</w:t>
      </w:r>
    </w:p>
    <w:p>
      <w:pPr>
        <w:pStyle w:val="NoSpacing"/>
        <w:numPr>
          <w:ilvl w:val="2"/>
          <w:numId w:val="12"/>
        </w:numPr>
        <w:spacing w:lineRule="auto" w:line="276"/>
        <w:jc w:val="both"/>
        <w:rPr>
          <w:rFonts w:ascii="Times New Roman" w:hAnsi="Times New Roman" w:cs="Times New Roman"/>
          <w:sz w:val="24"/>
          <w:szCs w:val="24"/>
          <w:lang w:val="pt-BR" w:eastAsia="pt-BR"/>
        </w:rPr>
      </w:pPr>
      <w:r>
        <w:rPr>
          <w:rFonts w:cs="Times New Roman" w:ascii="Times New Roman" w:hAnsi="Times New Roman"/>
          <w:w w:val="102"/>
          <w:sz w:val="24"/>
          <w:szCs w:val="24"/>
          <w:lang w:val="pt-BR"/>
        </w:rPr>
        <w:t>Estágio Extracurricular;</w:t>
      </w:r>
    </w:p>
    <w:p>
      <w:pPr>
        <w:pStyle w:val="NoSpacing"/>
        <w:spacing w:lineRule="auto" w:line="276"/>
        <w:ind w:left="708" w:hanging="0"/>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r>
    </w:p>
    <w:p>
      <w:pPr>
        <w:pStyle w:val="NoSpacing"/>
        <w:numPr>
          <w:ilvl w:val="1"/>
          <w:numId w:val="12"/>
        </w:numPr>
        <w:spacing w:lineRule="auto" w:line="276" w:before="0" w:after="240"/>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t>Ocorrendo empate na nota final, após a Prova Dissertativa, serão critérios de desempate:</w:t>
      </w:r>
    </w:p>
    <w:p>
      <w:pPr>
        <w:pStyle w:val="NoSpacing"/>
        <w:numPr>
          <w:ilvl w:val="2"/>
          <w:numId w:val="12"/>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w w:val="102"/>
          <w:sz w:val="24"/>
          <w:szCs w:val="24"/>
          <w:lang w:val="pt-BR"/>
        </w:rPr>
        <w:t>Idade mais avançada;</w:t>
      </w:r>
    </w:p>
    <w:p>
      <w:pPr>
        <w:pStyle w:val="NoSpacing"/>
        <w:numPr>
          <w:ilvl w:val="2"/>
          <w:numId w:val="12"/>
        </w:numPr>
        <w:spacing w:lineRule="auto" w:line="276"/>
        <w:jc w:val="both"/>
        <w:rPr>
          <w:rFonts w:ascii="Times New Roman" w:hAnsi="Times New Roman" w:cs="Times New Roman"/>
          <w:sz w:val="24"/>
          <w:szCs w:val="24"/>
          <w:lang w:val="pt-BR" w:eastAsia="pt-BR"/>
        </w:rPr>
      </w:pPr>
      <w:r>
        <w:rPr>
          <w:rFonts w:cs="Times New Roman" w:ascii="Times New Roman" w:hAnsi="Times New Roman"/>
          <w:color w:val="000000" w:themeColor="text1"/>
          <w:w w:val="102"/>
          <w:sz w:val="24"/>
          <w:szCs w:val="24"/>
          <w:lang w:val="pt-BR"/>
        </w:rPr>
        <w:t>Melhor nota na Prova Dissertativa</w:t>
      </w:r>
      <w:r>
        <w:rPr>
          <w:rFonts w:cs="Times New Roman" w:ascii="Times New Roman" w:hAnsi="Times New Roman"/>
          <w:color w:val="FF0000"/>
          <w:w w:val="102"/>
          <w:sz w:val="24"/>
          <w:szCs w:val="24"/>
          <w:lang w:val="pt-BR"/>
        </w:rPr>
        <w:t>;</w:t>
      </w:r>
    </w:p>
    <w:p>
      <w:pPr>
        <w:pStyle w:val="NoSpacing"/>
        <w:numPr>
          <w:ilvl w:val="2"/>
          <w:numId w:val="12"/>
        </w:numPr>
        <w:spacing w:lineRule="auto" w:line="276"/>
        <w:jc w:val="both"/>
        <w:rPr>
          <w:rFonts w:ascii="Times New Roman" w:hAnsi="Times New Roman" w:cs="Times New Roman"/>
          <w:sz w:val="24"/>
          <w:szCs w:val="24"/>
          <w:lang w:val="pt-BR" w:eastAsia="pt-BR"/>
        </w:rPr>
      </w:pPr>
      <w:r>
        <w:rPr>
          <w:rFonts w:cs="Times New Roman" w:ascii="Times New Roman" w:hAnsi="Times New Roman"/>
          <w:w w:val="102"/>
          <w:sz w:val="24"/>
          <w:szCs w:val="24"/>
          <w:lang w:val="pt-BR"/>
        </w:rPr>
        <w:t>Melhor nota na análise curricular.</w:t>
      </w:r>
    </w:p>
    <w:p>
      <w:pPr>
        <w:pStyle w:val="NoSpacing"/>
        <w:spacing w:lineRule="auto" w:line="276"/>
        <w:ind w:left="1440" w:hanging="0"/>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r>
    </w:p>
    <w:p>
      <w:pPr>
        <w:pStyle w:val="ListParagraph"/>
        <w:numPr>
          <w:ilvl w:val="0"/>
          <w:numId w:val="13"/>
        </w:numPr>
        <w:spacing w:lineRule="auto" w:line="276"/>
        <w:jc w:val="both"/>
        <w:rPr>
          <w:rFonts w:ascii="Times New Roman" w:hAnsi="Times New Roman"/>
          <w:sz w:val="24"/>
          <w:szCs w:val="24"/>
        </w:rPr>
      </w:pPr>
      <w:r>
        <w:rPr>
          <w:rFonts w:ascii="Times New Roman" w:hAnsi="Times New Roman"/>
          <w:b/>
          <w:sz w:val="24"/>
          <w:szCs w:val="24"/>
        </w:rPr>
        <w:t>DOS RECURSOS</w:t>
      </w:r>
    </w:p>
    <w:p>
      <w:pPr>
        <w:pStyle w:val="ListParagraph"/>
        <w:spacing w:lineRule="auto" w:line="276"/>
        <w:jc w:val="both"/>
        <w:rPr>
          <w:rFonts w:ascii="Times New Roman" w:hAnsi="Times New Roman"/>
          <w:sz w:val="24"/>
          <w:szCs w:val="24"/>
        </w:rPr>
      </w:pPr>
      <w:r>
        <w:rPr>
          <w:rFonts w:ascii="Times New Roman" w:hAnsi="Times New Roman"/>
          <w:sz w:val="24"/>
          <w:szCs w:val="24"/>
        </w:rPr>
      </w:r>
    </w:p>
    <w:p>
      <w:pPr>
        <w:pStyle w:val="ListParagraph"/>
        <w:numPr>
          <w:ilvl w:val="1"/>
          <w:numId w:val="9"/>
        </w:numPr>
        <w:spacing w:lineRule="auto" w:line="27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Caberá interposição de recursos devidamente fundamentados, perante a Comissão do Processo Seletivo, no </w:t>
      </w:r>
      <w:r>
        <w:rPr>
          <w:rFonts w:ascii="Times New Roman" w:hAnsi="Times New Roman"/>
          <w:b/>
          <w:sz w:val="24"/>
          <w:szCs w:val="24"/>
        </w:rPr>
        <w:t>prazo de 02 (dois) dias úteis</w:t>
      </w:r>
      <w:r>
        <w:rPr>
          <w:rFonts w:ascii="Times New Roman" w:hAnsi="Times New Roman"/>
          <w:sz w:val="24"/>
          <w:szCs w:val="24"/>
        </w:rPr>
        <w:t>, contados do primeiro dia subsequente à publicação dos resultados referentes a:</w:t>
      </w:r>
    </w:p>
    <w:p>
      <w:pPr>
        <w:pStyle w:val="ListParagraph"/>
        <w:widowControl w:val="false"/>
        <w:numPr>
          <w:ilvl w:val="2"/>
          <w:numId w:val="9"/>
        </w:numPr>
        <w:tabs>
          <w:tab w:val="clear" w:pos="708"/>
          <w:tab w:val="left" w:pos="0" w:leader="none"/>
        </w:tabs>
        <w:spacing w:lineRule="auto" w:line="276" w:before="2" w:after="0"/>
        <w:jc w:val="both"/>
        <w:rPr>
          <w:rFonts w:ascii="Times New Roman" w:hAnsi="Times New Roman"/>
          <w:sz w:val="24"/>
          <w:szCs w:val="24"/>
        </w:rPr>
      </w:pPr>
      <w:r>
        <w:rPr>
          <w:rFonts w:ascii="Times New Roman" w:hAnsi="Times New Roman"/>
          <w:sz w:val="24"/>
          <w:szCs w:val="24"/>
        </w:rPr>
        <w:t>Inscrições indeferidas;</w:t>
      </w:r>
    </w:p>
    <w:p>
      <w:pPr>
        <w:pStyle w:val="ListParagraph"/>
        <w:widowControl w:val="false"/>
        <w:numPr>
          <w:ilvl w:val="2"/>
          <w:numId w:val="9"/>
        </w:numPr>
        <w:tabs>
          <w:tab w:val="clear" w:pos="708"/>
          <w:tab w:val="left" w:pos="0" w:leader="none"/>
        </w:tabs>
        <w:spacing w:lineRule="auto" w:line="276" w:before="2" w:after="0"/>
        <w:jc w:val="both"/>
        <w:rPr>
          <w:rFonts w:ascii="Times New Roman" w:hAnsi="Times New Roman"/>
          <w:sz w:val="24"/>
          <w:szCs w:val="24"/>
        </w:rPr>
      </w:pPr>
      <w:r>
        <w:rPr>
          <w:rFonts w:ascii="Times New Roman" w:hAnsi="Times New Roman"/>
          <w:sz w:val="24"/>
          <w:szCs w:val="24"/>
        </w:rPr>
        <w:t>Análise Curricular;</w:t>
      </w:r>
    </w:p>
    <w:p>
      <w:pPr>
        <w:pStyle w:val="ListParagraph"/>
        <w:widowControl w:val="false"/>
        <w:numPr>
          <w:ilvl w:val="2"/>
          <w:numId w:val="9"/>
        </w:numPr>
        <w:tabs>
          <w:tab w:val="clear" w:pos="708"/>
          <w:tab w:val="left" w:pos="0" w:leader="none"/>
        </w:tabs>
        <w:spacing w:lineRule="auto" w:line="276" w:before="2" w:after="0"/>
        <w:jc w:val="both"/>
        <w:rPr>
          <w:rFonts w:ascii="Times New Roman" w:hAnsi="Times New Roman"/>
          <w:sz w:val="24"/>
          <w:szCs w:val="24"/>
        </w:rPr>
      </w:pPr>
      <w:r>
        <w:rPr>
          <w:rFonts w:ascii="Times New Roman" w:hAnsi="Times New Roman"/>
          <w:sz w:val="24"/>
          <w:szCs w:val="24"/>
        </w:rPr>
        <w:t xml:space="preserve">Resultado Preliminar. </w:t>
      </w:r>
    </w:p>
    <w:p>
      <w:pPr>
        <w:pStyle w:val="Normal"/>
        <w:widowControl w:val="false"/>
        <w:tabs>
          <w:tab w:val="clear" w:pos="708"/>
          <w:tab w:val="left" w:pos="0" w:leader="none"/>
        </w:tabs>
        <w:spacing w:lineRule="auto" w:line="276" w:before="2" w:after="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9"/>
        </w:numPr>
        <w:tabs>
          <w:tab w:val="clear" w:pos="708"/>
          <w:tab w:val="left" w:pos="0" w:leader="none"/>
        </w:tabs>
        <w:spacing w:lineRule="auto" w:line="276" w:before="2" w:after="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Os recursos deverão ser remetidos, </w:t>
      </w:r>
      <w:r>
        <w:rPr>
          <w:rFonts w:ascii="Times New Roman" w:hAnsi="Times New Roman"/>
          <w:b/>
          <w:sz w:val="24"/>
          <w:szCs w:val="24"/>
        </w:rPr>
        <w:t>EM FORMATO PDF,</w:t>
      </w:r>
      <w:r>
        <w:rPr>
          <w:rFonts w:ascii="Times New Roman" w:hAnsi="Times New Roman"/>
          <w:sz w:val="24"/>
          <w:szCs w:val="24"/>
        </w:rPr>
        <w:t xml:space="preserve"> com o título </w:t>
      </w:r>
      <w:r>
        <w:rPr>
          <w:rFonts w:ascii="Times New Roman" w:hAnsi="Times New Roman"/>
          <w:b/>
          <w:sz w:val="24"/>
          <w:szCs w:val="24"/>
        </w:rPr>
        <w:t>“RECURSO – ESTÁGIO DE PÓS-GRADUAÇÃO 2º INSTÂNCIA”</w:t>
      </w:r>
      <w:r>
        <w:rPr>
          <w:rFonts w:ascii="Times New Roman" w:hAnsi="Times New Roman"/>
          <w:sz w:val="24"/>
          <w:szCs w:val="24"/>
        </w:rPr>
        <w:t xml:space="preserve"> para o endereço eletrônico </w:t>
      </w:r>
      <w:r>
        <w:rPr>
          <w:rFonts w:ascii="Times New Roman" w:hAnsi="Times New Roman"/>
          <w:b/>
          <w:sz w:val="24"/>
          <w:szCs w:val="24"/>
        </w:rPr>
        <w:t>seletivos2021@ma.def.br</w:t>
      </w:r>
      <w:r>
        <w:rPr>
          <w:rFonts w:ascii="Times New Roman" w:hAnsi="Times New Roman"/>
          <w:sz w:val="24"/>
          <w:szCs w:val="24"/>
        </w:rPr>
        <w:t>, com os seguintes dados:</w:t>
      </w:r>
    </w:p>
    <w:p>
      <w:pPr>
        <w:pStyle w:val="Corpodotexto"/>
        <w:tabs>
          <w:tab w:val="clear" w:pos="708"/>
          <w:tab w:val="left" w:pos="0" w:leader="none"/>
        </w:tabs>
        <w:spacing w:lineRule="auto" w:line="276"/>
        <w:ind w:left="1416" w:hanging="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2"/>
          <w:numId w:val="9"/>
        </w:numPr>
        <w:tabs>
          <w:tab w:val="clear" w:pos="708"/>
          <w:tab w:val="left" w:pos="0" w:leader="none"/>
        </w:tabs>
        <w:spacing w:lineRule="auto" w:line="276" w:before="0" w:after="0"/>
        <w:jc w:val="both"/>
        <w:rPr>
          <w:rFonts w:ascii="Times New Roman" w:hAnsi="Times New Roman"/>
          <w:sz w:val="24"/>
          <w:szCs w:val="24"/>
        </w:rPr>
      </w:pPr>
      <w:r>
        <w:rPr>
          <w:rFonts w:ascii="Times New Roman" w:hAnsi="Times New Roman"/>
          <w:sz w:val="24"/>
          <w:szCs w:val="24"/>
        </w:rPr>
        <w:t>Identificação do Candidato</w:t>
      </w:r>
    </w:p>
    <w:p>
      <w:pPr>
        <w:pStyle w:val="ListParagraph"/>
        <w:widowControl w:val="false"/>
        <w:numPr>
          <w:ilvl w:val="2"/>
          <w:numId w:val="9"/>
        </w:numPr>
        <w:tabs>
          <w:tab w:val="clear" w:pos="708"/>
          <w:tab w:val="left" w:pos="0" w:leader="none"/>
        </w:tabs>
        <w:spacing w:lineRule="auto" w:line="276" w:before="0" w:after="0"/>
        <w:jc w:val="both"/>
        <w:rPr>
          <w:rFonts w:ascii="Times New Roman" w:hAnsi="Times New Roman"/>
          <w:sz w:val="24"/>
          <w:szCs w:val="24"/>
        </w:rPr>
      </w:pPr>
      <w:r>
        <w:rPr>
          <w:rFonts w:ascii="Times New Roman" w:hAnsi="Times New Roman"/>
          <w:sz w:val="24"/>
          <w:szCs w:val="24"/>
        </w:rPr>
        <w:t>A fundamentação ou o embasamento, com as devidas razões do recurso.</w:t>
      </w:r>
    </w:p>
    <w:p>
      <w:pPr>
        <w:pStyle w:val="Corpodotexto"/>
        <w:tabs>
          <w:tab w:val="clear" w:pos="708"/>
          <w:tab w:val="left" w:pos="0" w:leader="none"/>
          <w:tab w:val="left" w:pos="1418" w:leader="none"/>
        </w:tabs>
        <w:spacing w:lineRule="auto" w:line="276"/>
        <w:ind w:left="709" w:hanging="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9"/>
        </w:numPr>
        <w:tabs>
          <w:tab w:val="clear" w:pos="708"/>
          <w:tab w:val="left" w:pos="0" w:leader="none"/>
          <w:tab w:val="left" w:pos="426" w:leader="none"/>
          <w:tab w:val="left" w:pos="1418" w:leader="none"/>
        </w:tabs>
        <w:spacing w:lineRule="auto" w:line="276" w:before="1" w:after="0"/>
        <w:ind w:left="1053" w:right="108" w:hanging="42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Não serão aceitos recursos encaminhados por qualquer outra forma, devendo ser digitados e fundamentados em argumentação lógica e consistente;</w:t>
      </w:r>
    </w:p>
    <w:p>
      <w:pPr>
        <w:pStyle w:val="ListParagraph"/>
        <w:widowControl w:val="false"/>
        <w:tabs>
          <w:tab w:val="clear" w:pos="708"/>
          <w:tab w:val="left" w:pos="0" w:leader="none"/>
          <w:tab w:val="left" w:pos="426" w:leader="none"/>
          <w:tab w:val="left" w:pos="1418" w:leader="none"/>
        </w:tabs>
        <w:spacing w:lineRule="auto" w:line="276" w:before="1" w:after="0"/>
        <w:ind w:left="1080" w:right="108" w:hanging="0"/>
        <w:contextualSpacing/>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9"/>
        </w:numPr>
        <w:tabs>
          <w:tab w:val="clear" w:pos="708"/>
          <w:tab w:val="left" w:pos="0" w:leader="none"/>
          <w:tab w:val="left" w:pos="426" w:leader="none"/>
          <w:tab w:val="left" w:pos="1418" w:leader="none"/>
        </w:tabs>
        <w:spacing w:lineRule="auto" w:line="276" w:before="1" w:after="0"/>
        <w:ind w:left="1053" w:right="108" w:hanging="42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Recursos não fundamentados ou interpostos fora do prazo serão indeferidos;</w:t>
      </w:r>
    </w:p>
    <w:p>
      <w:pPr>
        <w:pStyle w:val="ListParagraph"/>
        <w:rPr>
          <w:rFonts w:ascii="Times New Roman" w:hAnsi="Times New Roman"/>
          <w:sz w:val="24"/>
          <w:szCs w:val="24"/>
        </w:rPr>
      </w:pPr>
      <w:r>
        <w:rPr>
          <w:rFonts w:ascii="Times New Roman" w:hAnsi="Times New Roman"/>
          <w:sz w:val="24"/>
          <w:szCs w:val="24"/>
        </w:rPr>
      </w:r>
    </w:p>
    <w:p>
      <w:pPr>
        <w:pStyle w:val="ListParagraph"/>
        <w:widowControl w:val="false"/>
        <w:numPr>
          <w:ilvl w:val="1"/>
          <w:numId w:val="9"/>
        </w:numPr>
        <w:tabs>
          <w:tab w:val="clear" w:pos="708"/>
          <w:tab w:val="left" w:pos="0" w:leader="none"/>
          <w:tab w:val="left" w:pos="426" w:leader="none"/>
          <w:tab w:val="left" w:pos="1418" w:leader="none"/>
        </w:tabs>
        <w:spacing w:lineRule="auto" w:line="276" w:before="1" w:after="0"/>
        <w:ind w:left="1080" w:right="108" w:hanging="42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Os recursos serão analisados pela Comissão do Seletivo, que deliberará como última instância na esfera administrativa;</w:t>
      </w:r>
    </w:p>
    <w:p>
      <w:pPr>
        <w:pStyle w:val="Corpodotexto"/>
        <w:tabs>
          <w:tab w:val="clear" w:pos="708"/>
          <w:tab w:val="left" w:pos="0" w:leader="none"/>
          <w:tab w:val="left" w:pos="1418" w:leader="none"/>
        </w:tabs>
        <w:spacing w:lineRule="auto" w:line="276" w:before="11"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9"/>
        </w:numPr>
        <w:tabs>
          <w:tab w:val="clear" w:pos="708"/>
          <w:tab w:val="left" w:pos="0" w:leader="none"/>
        </w:tabs>
        <w:spacing w:lineRule="auto" w:line="276" w:before="0" w:after="0"/>
        <w:ind w:left="1053" w:right="119" w:hanging="4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As respostas aos recursos interpostos serão enviadas aos candidatos por meio do e-mail que o candidato interpôs (</w:t>
      </w:r>
      <w:hyperlink r:id="rId9">
        <w:r>
          <w:rPr>
            <w:rStyle w:val="LinkdaInternet"/>
            <w:rFonts w:ascii="Times New Roman" w:hAnsi="Times New Roman"/>
            <w:b/>
            <w:sz w:val="24"/>
            <w:szCs w:val="24"/>
          </w:rPr>
          <w:t>seletivos2021@ma.def.br</w:t>
        </w:r>
      </w:hyperlink>
      <w:r>
        <w:rPr>
          <w:rFonts w:ascii="Times New Roman" w:hAnsi="Times New Roman"/>
          <w:b/>
          <w:sz w:val="24"/>
          <w:szCs w:val="24"/>
        </w:rPr>
        <w:t>).</w:t>
      </w:r>
    </w:p>
    <w:p>
      <w:pPr>
        <w:pStyle w:val="Corpodotexto"/>
        <w:spacing w:lineRule="auto" w:line="276" w:before="1" w:after="0"/>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9"/>
        </w:numPr>
        <w:tabs>
          <w:tab w:val="clear" w:pos="708"/>
          <w:tab w:val="left" w:pos="558" w:leader="none"/>
        </w:tabs>
        <w:spacing w:lineRule="auto" w:line="276" w:before="0" w:after="24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 CLASSIFICAÇÃO FINAL</w:t>
      </w:r>
    </w:p>
    <w:p>
      <w:pPr>
        <w:pStyle w:val="ListParagraph"/>
        <w:widowControl w:val="false"/>
        <w:numPr>
          <w:ilvl w:val="1"/>
          <w:numId w:val="9"/>
        </w:numPr>
        <w:tabs>
          <w:tab w:val="clear" w:pos="708"/>
          <w:tab w:val="left" w:pos="709" w:leader="none"/>
        </w:tabs>
        <w:spacing w:lineRule="auto" w:line="276" w:before="0" w:after="0"/>
        <w:ind w:left="709" w:right="122" w:hanging="0"/>
        <w:jc w:val="both"/>
        <w:rPr>
          <w:rFonts w:ascii="Times New Roman" w:hAnsi="Times New Roman"/>
          <w:sz w:val="24"/>
          <w:szCs w:val="24"/>
        </w:rPr>
      </w:pPr>
      <w:r>
        <w:rPr>
          <w:rFonts w:ascii="Times New Roman" w:hAnsi="Times New Roman"/>
          <w:sz w:val="24"/>
          <w:szCs w:val="24"/>
        </w:rPr>
        <w:t>Os candidatos aprovados serão classificados na ordem decrescente da somatória das notas da fase curricular e Prova Dissertativa, desde que preencham os requisitos constantes deste Edital.</w:t>
      </w:r>
    </w:p>
    <w:p>
      <w:pPr>
        <w:pStyle w:val="Corpodotexto"/>
        <w:spacing w:lineRule="auto" w:line="276"/>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9"/>
        </w:numPr>
        <w:tabs>
          <w:tab w:val="clear" w:pos="708"/>
          <w:tab w:val="left" w:pos="785" w:leader="none"/>
        </w:tabs>
        <w:spacing w:lineRule="auto" w:line="276" w:before="0" w:after="0"/>
        <w:ind w:left="709" w:right="108" w:hanging="0"/>
        <w:jc w:val="both"/>
        <w:rPr>
          <w:rFonts w:ascii="Times New Roman" w:hAnsi="Times New Roman"/>
          <w:sz w:val="24"/>
          <w:szCs w:val="24"/>
        </w:rPr>
      </w:pPr>
      <w:r>
        <w:rPr>
          <w:rFonts w:ascii="Times New Roman" w:hAnsi="Times New Roman"/>
          <w:sz w:val="24"/>
          <w:szCs w:val="24"/>
        </w:rPr>
        <w:t>Os candidatos com deficiência constarão em duas listagens: 1) Lista de classificação de pessoas com deficiência, onde constará apenas a classificação dos candidatos que estão concorrendo como pessoas com deficiência; 2) Lista geral de classificação, onde constará a classificação de todos os candidatos.</w:t>
      </w:r>
    </w:p>
    <w:p>
      <w:pPr>
        <w:pStyle w:val="ListParagraph"/>
        <w:rPr>
          <w:rFonts w:ascii="Times New Roman" w:hAnsi="Times New Roman"/>
          <w:sz w:val="24"/>
          <w:szCs w:val="24"/>
        </w:rPr>
      </w:pPr>
      <w:r>
        <w:rPr>
          <w:rFonts w:ascii="Times New Roman" w:hAnsi="Times New Roman"/>
          <w:sz w:val="24"/>
          <w:szCs w:val="24"/>
        </w:rPr>
      </w:r>
    </w:p>
    <w:p>
      <w:pPr>
        <w:pStyle w:val="ListParagraph"/>
        <w:widowControl w:val="false"/>
        <w:numPr>
          <w:ilvl w:val="1"/>
          <w:numId w:val="9"/>
        </w:numPr>
        <w:tabs>
          <w:tab w:val="clear" w:pos="708"/>
          <w:tab w:val="left" w:pos="785" w:leader="none"/>
        </w:tabs>
        <w:spacing w:lineRule="auto" w:line="276" w:before="0" w:after="0"/>
        <w:ind w:left="709" w:right="108" w:hanging="0"/>
        <w:jc w:val="both"/>
        <w:rPr>
          <w:rFonts w:ascii="Times New Roman" w:hAnsi="Times New Roman"/>
          <w:sz w:val="24"/>
          <w:szCs w:val="24"/>
        </w:rPr>
      </w:pPr>
      <w:r>
        <w:rPr>
          <w:rFonts w:ascii="Times New Roman" w:hAnsi="Times New Roman"/>
          <w:sz w:val="24"/>
          <w:szCs w:val="24"/>
        </w:rPr>
        <w:t xml:space="preserve">Quando da contratação serão chamados os candidatos aprovados das duas listas (geral e específica), constantes no subitem 11.2, de maneira sequencial, garantindo-se o percentual de </w:t>
      </w:r>
      <w:r>
        <w:rPr>
          <w:rFonts w:ascii="Times New Roman" w:hAnsi="Times New Roman"/>
          <w:b/>
          <w:sz w:val="24"/>
          <w:szCs w:val="24"/>
        </w:rPr>
        <w:t xml:space="preserve">10% (dez por cento) das contratações </w:t>
      </w:r>
      <w:r>
        <w:rPr>
          <w:rFonts w:ascii="Times New Roman" w:hAnsi="Times New Roman"/>
          <w:sz w:val="24"/>
          <w:szCs w:val="24"/>
        </w:rPr>
        <w:t>por lista específica.</w:t>
      </w:r>
    </w:p>
    <w:p>
      <w:pPr>
        <w:pStyle w:val="Corpodotexto"/>
        <w:spacing w:lineRule="auto" w:line="276"/>
        <w:ind w:right="109" w:hanging="0"/>
        <w:jc w:val="both"/>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9"/>
        </w:numPr>
        <w:tabs>
          <w:tab w:val="clear" w:pos="708"/>
          <w:tab w:val="left" w:pos="558" w:leader="none"/>
        </w:tabs>
        <w:spacing w:lineRule="auto" w:line="276"/>
        <w:ind w:left="557" w:hanging="278"/>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 CONTRATAÇÃO</w:t>
      </w:r>
    </w:p>
    <w:p>
      <w:pPr>
        <w:pStyle w:val="Corpodotexto"/>
        <w:spacing w:lineRule="auto" w:line="276" w:before="9" w:after="0"/>
        <w:rPr>
          <w:rFonts w:ascii="Times New Roman" w:hAnsi="Times New Roman" w:cs="Times New Roman"/>
          <w:b/>
          <w:b/>
          <w:sz w:val="24"/>
          <w:szCs w:val="24"/>
        </w:rPr>
      </w:pPr>
      <w:r>
        <w:rPr>
          <w:rFonts w:cs="Times New Roman" w:ascii="Times New Roman" w:hAnsi="Times New Roman"/>
          <w:b/>
          <w:sz w:val="24"/>
          <w:szCs w:val="24"/>
        </w:rPr>
      </w:r>
    </w:p>
    <w:p>
      <w:pPr>
        <w:pStyle w:val="ListParagraph"/>
        <w:widowControl w:val="false"/>
        <w:numPr>
          <w:ilvl w:val="1"/>
          <w:numId w:val="9"/>
        </w:numPr>
        <w:tabs>
          <w:tab w:val="clear" w:pos="708"/>
          <w:tab w:val="left" w:pos="851" w:leader="none"/>
        </w:tabs>
        <w:spacing w:lineRule="auto" w:line="276" w:before="0" w:after="0"/>
        <w:ind w:left="851" w:right="117" w:hanging="0"/>
        <w:jc w:val="both"/>
        <w:rPr>
          <w:rFonts w:ascii="Times New Roman" w:hAnsi="Times New Roman"/>
          <w:sz w:val="24"/>
          <w:szCs w:val="24"/>
        </w:rPr>
      </w:pPr>
      <w:r>
        <w:rPr>
          <w:rFonts w:ascii="Times New Roman" w:hAnsi="Times New Roman"/>
          <w:sz w:val="24"/>
          <w:szCs w:val="24"/>
        </w:rPr>
        <w:t>Para ingressar em estágio de Pós-Graduação em Direito na Defensoria Pública do Estado do Maranhão, o candidato deverá:</w:t>
      </w:r>
    </w:p>
    <w:p>
      <w:pPr>
        <w:pStyle w:val="Corpodotexto"/>
        <w:spacing w:lineRule="auto" w:line="276"/>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0"/>
          <w:numId w:val="6"/>
        </w:numPr>
        <w:spacing w:lineRule="auto" w:line="276" w:before="0" w:after="0"/>
        <w:ind w:left="1701" w:firstLine="54"/>
        <w:jc w:val="both"/>
        <w:rPr>
          <w:rFonts w:ascii="Times New Roman" w:hAnsi="Times New Roman"/>
          <w:sz w:val="24"/>
          <w:szCs w:val="24"/>
        </w:rPr>
      </w:pPr>
      <w:r>
        <w:rPr>
          <w:rFonts w:ascii="Times New Roman" w:hAnsi="Times New Roman"/>
          <w:sz w:val="24"/>
          <w:szCs w:val="24"/>
        </w:rPr>
        <w:t>Ter sido aprovado no processo seletivo;</w:t>
      </w:r>
    </w:p>
    <w:p>
      <w:pPr>
        <w:pStyle w:val="ListParagraph"/>
        <w:widowControl w:val="false"/>
        <w:numPr>
          <w:ilvl w:val="0"/>
          <w:numId w:val="6"/>
        </w:numPr>
        <w:spacing w:lineRule="auto" w:line="276" w:before="10" w:after="0"/>
        <w:ind w:left="1701" w:firstLine="54"/>
        <w:jc w:val="both"/>
        <w:rPr>
          <w:rFonts w:ascii="Times New Roman" w:hAnsi="Times New Roman"/>
          <w:sz w:val="24"/>
          <w:szCs w:val="24"/>
        </w:rPr>
      </w:pPr>
      <w:r>
        <w:rPr>
          <w:rFonts w:ascii="Times New Roman" w:hAnsi="Times New Roman"/>
          <w:sz w:val="24"/>
          <w:szCs w:val="24"/>
        </w:rPr>
        <w:t>Ser bacharel em Direito;</w:t>
      </w:r>
    </w:p>
    <w:p>
      <w:pPr>
        <w:pStyle w:val="ListParagraph"/>
        <w:widowControl w:val="false"/>
        <w:numPr>
          <w:ilvl w:val="0"/>
          <w:numId w:val="6"/>
        </w:numPr>
        <w:spacing w:lineRule="auto" w:line="276" w:before="10" w:after="0"/>
        <w:ind w:left="1701" w:right="117" w:firstLine="54"/>
        <w:jc w:val="both"/>
        <w:rPr>
          <w:rFonts w:ascii="Times New Roman" w:hAnsi="Times New Roman"/>
          <w:sz w:val="24"/>
          <w:szCs w:val="24"/>
        </w:rPr>
      </w:pPr>
      <w:r>
        <w:rPr>
          <w:rFonts w:ascii="Times New Roman" w:hAnsi="Times New Roman"/>
          <w:sz w:val="24"/>
          <w:szCs w:val="24"/>
        </w:rPr>
        <w:t>Estar regularmente matriculado em curso de Pós-graduação, em nível de especialização, mestrado, doutorado ou pós-doutorado, em Direito;</w:t>
      </w:r>
    </w:p>
    <w:p>
      <w:pPr>
        <w:pStyle w:val="ListParagraph"/>
        <w:widowControl w:val="false"/>
        <w:numPr>
          <w:ilvl w:val="0"/>
          <w:numId w:val="6"/>
        </w:numPr>
        <w:spacing w:lineRule="auto" w:line="276" w:before="2" w:after="0"/>
        <w:ind w:left="1701" w:firstLine="54"/>
        <w:jc w:val="both"/>
        <w:rPr>
          <w:rFonts w:ascii="Times New Roman" w:hAnsi="Times New Roman"/>
          <w:sz w:val="24"/>
          <w:szCs w:val="24"/>
        </w:rPr>
      </w:pPr>
      <w:r>
        <w:rPr>
          <w:rFonts w:ascii="Times New Roman" w:hAnsi="Times New Roman"/>
          <w:sz w:val="24"/>
          <w:szCs w:val="24"/>
        </w:rPr>
        <w:t>Firmar termo de compromisso com a Defensoria Pública do Estado do Maranhão;</w:t>
      </w:r>
    </w:p>
    <w:p>
      <w:pPr>
        <w:pStyle w:val="ListParagraph"/>
        <w:widowControl w:val="false"/>
        <w:numPr>
          <w:ilvl w:val="0"/>
          <w:numId w:val="6"/>
        </w:numPr>
        <w:tabs>
          <w:tab w:val="clear" w:pos="708"/>
          <w:tab w:val="left" w:pos="573" w:leader="none"/>
        </w:tabs>
        <w:spacing w:lineRule="auto" w:line="276" w:before="10" w:after="0"/>
        <w:ind w:left="1701" w:right="112" w:firstLine="54"/>
        <w:jc w:val="both"/>
        <w:rPr>
          <w:rFonts w:ascii="Times New Roman" w:hAnsi="Times New Roman"/>
          <w:sz w:val="24"/>
          <w:szCs w:val="24"/>
        </w:rPr>
      </w:pPr>
      <w:r>
        <w:rPr>
          <w:rFonts w:ascii="Times New Roman" w:hAnsi="Times New Roman"/>
          <w:sz w:val="24"/>
          <w:szCs w:val="24"/>
        </w:rPr>
        <w:t>Comprovar, quando for o caso, estar em dia com as obrigações militares e no pleno gozo dos direitos políticos;</w:t>
      </w:r>
    </w:p>
    <w:p>
      <w:pPr>
        <w:pStyle w:val="ListParagraph"/>
        <w:widowControl w:val="false"/>
        <w:numPr>
          <w:ilvl w:val="0"/>
          <w:numId w:val="6"/>
        </w:numPr>
        <w:spacing w:lineRule="auto" w:line="276" w:before="2" w:after="0"/>
        <w:ind w:left="1701" w:right="118" w:firstLine="54"/>
        <w:jc w:val="both"/>
        <w:rPr>
          <w:rFonts w:ascii="Times New Roman" w:hAnsi="Times New Roman"/>
          <w:sz w:val="24"/>
          <w:szCs w:val="24"/>
        </w:rPr>
      </w:pPr>
      <w:r>
        <w:rPr>
          <w:rFonts w:ascii="Times New Roman" w:hAnsi="Times New Roman"/>
          <w:sz w:val="24"/>
          <w:szCs w:val="24"/>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lineRule="auto" w:line="276" w:before="1"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9"/>
        </w:numPr>
        <w:tabs>
          <w:tab w:val="clear" w:pos="708"/>
          <w:tab w:val="left" w:pos="725" w:leader="none"/>
        </w:tabs>
        <w:spacing w:lineRule="auto" w:line="276" w:before="0" w:after="0"/>
        <w:ind w:left="724" w:firstLine="12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 curso de Pós-graduação em Direito deverá atender, ainda, às seguintes exigências:</w:t>
      </w:r>
    </w:p>
    <w:p>
      <w:pPr>
        <w:pStyle w:val="Corpodotexto"/>
        <w:spacing w:lineRule="auto" w:line="276" w:before="8"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0"/>
          <w:numId w:val="5"/>
        </w:numPr>
        <w:spacing w:lineRule="auto" w:line="276" w:before="0" w:after="0"/>
        <w:ind w:left="2127" w:hanging="284"/>
        <w:jc w:val="both"/>
        <w:rPr>
          <w:rFonts w:ascii="Times New Roman" w:hAnsi="Times New Roman"/>
          <w:sz w:val="24"/>
          <w:szCs w:val="24"/>
        </w:rPr>
      </w:pPr>
      <w:r>
        <w:rPr>
          <w:rFonts w:ascii="Times New Roman" w:hAnsi="Times New Roman"/>
          <w:sz w:val="24"/>
          <w:szCs w:val="24"/>
        </w:rPr>
        <w:t>Possuir carga-horária mínima de 360 (trezentos e sessenta) horas-aula;</w:t>
      </w:r>
    </w:p>
    <w:p>
      <w:pPr>
        <w:pStyle w:val="ListParagraph"/>
        <w:widowControl w:val="false"/>
        <w:numPr>
          <w:ilvl w:val="0"/>
          <w:numId w:val="8"/>
        </w:numPr>
        <w:spacing w:lineRule="auto" w:line="276" w:before="10" w:after="0"/>
        <w:ind w:left="2127" w:right="117" w:hanging="308"/>
        <w:contextualSpacing/>
        <w:jc w:val="both"/>
        <w:rPr>
          <w:rFonts w:ascii="Times New Roman" w:hAnsi="Times New Roman"/>
          <w:sz w:val="24"/>
          <w:szCs w:val="24"/>
        </w:rPr>
      </w:pPr>
      <w:r>
        <w:rPr>
          <w:rFonts w:ascii="Times New Roman" w:hAnsi="Times New Roman"/>
          <w:sz w:val="24"/>
          <w:szCs w:val="24"/>
        </w:rPr>
        <w:t>Ser ministrado, de forma direta ou conveniada, presencial ou à distância, por instituição de ensino credenciada ou reconhecida pelo Ministério da Educação ou pelo Conselho Estadual de Educação;</w:t>
      </w:r>
    </w:p>
    <w:p>
      <w:pPr>
        <w:pStyle w:val="ListParagraph"/>
        <w:widowControl w:val="false"/>
        <w:numPr>
          <w:ilvl w:val="0"/>
          <w:numId w:val="8"/>
        </w:numPr>
        <w:tabs>
          <w:tab w:val="clear" w:pos="708"/>
          <w:tab w:val="left" w:pos="567" w:leader="none"/>
        </w:tabs>
        <w:spacing w:lineRule="auto" w:line="276" w:before="2" w:after="0"/>
        <w:ind w:left="501" w:firstLine="1342"/>
        <w:jc w:val="both"/>
        <w:rPr>
          <w:rFonts w:ascii="Times New Roman" w:hAnsi="Times New Roman"/>
          <w:sz w:val="24"/>
          <w:szCs w:val="24"/>
        </w:rPr>
      </w:pPr>
      <w:r>
        <w:rPr>
          <w:rFonts w:ascii="Times New Roman" w:hAnsi="Times New Roman"/>
          <w:sz w:val="24"/>
          <w:szCs w:val="24"/>
        </w:rPr>
        <w:t>Ter autorização e reconhecimento do Ministério da Educação.</w:t>
      </w:r>
    </w:p>
    <w:p>
      <w:pPr>
        <w:pStyle w:val="Corpodotexto"/>
        <w:spacing w:lineRule="auto" w:line="276" w:before="8"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9"/>
        </w:numPr>
        <w:tabs>
          <w:tab w:val="clear" w:pos="708"/>
          <w:tab w:val="left" w:pos="725" w:leader="none"/>
        </w:tabs>
        <w:spacing w:lineRule="auto" w:line="276" w:before="1" w:after="0"/>
        <w:ind w:left="724" w:firstLine="127"/>
        <w:jc w:val="both"/>
        <w:rPr>
          <w:rFonts w:ascii="Times New Roman" w:hAnsi="Times New Roman"/>
          <w:sz w:val="24"/>
          <w:szCs w:val="24"/>
        </w:rPr>
      </w:pPr>
      <w:r>
        <w:rPr>
          <w:rFonts w:ascii="Times New Roman" w:hAnsi="Times New Roman"/>
          <w:sz w:val="24"/>
          <w:szCs w:val="24"/>
        </w:rPr>
        <w:t>Por ocasião da contratação deverão ser apresentados originais e cópias dos seguintes documentos:</w:t>
      </w:r>
    </w:p>
    <w:p>
      <w:pPr>
        <w:pStyle w:val="ListParagraph"/>
        <w:tabs>
          <w:tab w:val="clear" w:pos="708"/>
          <w:tab w:val="left" w:pos="492" w:leader="none"/>
        </w:tabs>
        <w:spacing w:lineRule="auto" w:line="276" w:before="40" w:after="160"/>
        <w:ind w:left="720" w:right="121" w:hanging="0"/>
        <w:contextualSpacing/>
        <w:rPr>
          <w:rFonts w:ascii="Times New Roman" w:hAnsi="Times New Roman"/>
          <w:sz w:val="24"/>
          <w:szCs w:val="24"/>
        </w:rPr>
      </w:pPr>
      <w:r>
        <w:rPr>
          <w:rFonts w:ascii="Times New Roman" w:hAnsi="Times New Roman"/>
          <w:sz w:val="24"/>
          <w:szCs w:val="24"/>
        </w:rPr>
      </w:r>
    </w:p>
    <w:p>
      <w:pPr>
        <w:pStyle w:val="ListParagraph"/>
        <w:tabs>
          <w:tab w:val="clear" w:pos="708"/>
          <w:tab w:val="left" w:pos="492" w:leader="none"/>
        </w:tabs>
        <w:spacing w:lineRule="auto" w:line="276" w:before="40" w:after="160"/>
        <w:ind w:left="2124" w:right="121" w:hanging="0"/>
        <w:contextualSpacing/>
        <w:rPr>
          <w:rFonts w:ascii="Times New Roman" w:hAnsi="Times New Roman"/>
          <w:sz w:val="24"/>
          <w:szCs w:val="24"/>
        </w:rPr>
      </w:pPr>
      <w:r>
        <w:rPr>
          <w:rFonts w:ascii="Times New Roman" w:hAnsi="Times New Roman"/>
          <w:sz w:val="24"/>
          <w:szCs w:val="24"/>
        </w:rPr>
        <w:t>a)</w:t>
        <w:tab/>
        <w:t>CPF;</w:t>
      </w:r>
    </w:p>
    <w:p>
      <w:pPr>
        <w:pStyle w:val="ListParagraph"/>
        <w:tabs>
          <w:tab w:val="clear" w:pos="708"/>
          <w:tab w:val="left" w:pos="492" w:leader="none"/>
        </w:tabs>
        <w:spacing w:lineRule="auto" w:line="276" w:before="40" w:after="160"/>
        <w:ind w:left="2124" w:right="121" w:hanging="0"/>
        <w:contextualSpacing/>
        <w:rPr>
          <w:rFonts w:ascii="Times New Roman" w:hAnsi="Times New Roman"/>
          <w:sz w:val="24"/>
          <w:szCs w:val="24"/>
        </w:rPr>
      </w:pPr>
      <w:r>
        <w:rPr>
          <w:rFonts w:ascii="Times New Roman" w:hAnsi="Times New Roman"/>
          <w:sz w:val="24"/>
          <w:szCs w:val="24"/>
        </w:rPr>
        <w:t>b)</w:t>
        <w:tab/>
        <w:t>Carteira de Identidade –RG;</w:t>
      </w:r>
    </w:p>
    <w:p>
      <w:pPr>
        <w:pStyle w:val="ListParagraph"/>
        <w:tabs>
          <w:tab w:val="clear" w:pos="708"/>
          <w:tab w:val="left" w:pos="492" w:leader="none"/>
        </w:tabs>
        <w:spacing w:lineRule="auto" w:line="276" w:before="40" w:after="160"/>
        <w:ind w:left="2124" w:right="121" w:hanging="0"/>
        <w:contextualSpacing/>
        <w:rPr>
          <w:rFonts w:ascii="Times New Roman" w:hAnsi="Times New Roman"/>
          <w:sz w:val="24"/>
          <w:szCs w:val="24"/>
        </w:rPr>
      </w:pPr>
      <w:r>
        <w:rPr>
          <w:rFonts w:ascii="Times New Roman" w:hAnsi="Times New Roman"/>
          <w:sz w:val="24"/>
          <w:szCs w:val="24"/>
        </w:rPr>
        <w:t>c)</w:t>
        <w:tab/>
        <w:t>Comprovante de residência;</w:t>
      </w:r>
    </w:p>
    <w:p>
      <w:pPr>
        <w:pStyle w:val="ListParagraph"/>
        <w:tabs>
          <w:tab w:val="clear" w:pos="708"/>
          <w:tab w:val="left" w:pos="492" w:leader="none"/>
        </w:tabs>
        <w:spacing w:lineRule="auto" w:line="276" w:before="40" w:after="160"/>
        <w:ind w:left="2124" w:right="121" w:hanging="0"/>
        <w:contextualSpacing/>
        <w:rPr>
          <w:rFonts w:ascii="Times New Roman" w:hAnsi="Times New Roman"/>
          <w:sz w:val="24"/>
          <w:szCs w:val="24"/>
        </w:rPr>
      </w:pPr>
      <w:r>
        <w:rPr>
          <w:rFonts w:ascii="Times New Roman" w:hAnsi="Times New Roman"/>
          <w:sz w:val="24"/>
          <w:szCs w:val="24"/>
        </w:rPr>
        <w:t>d)</w:t>
        <w:tab/>
        <w:t>Histórico escolar;</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sz w:val="24"/>
          <w:szCs w:val="24"/>
        </w:rPr>
      </w:pPr>
      <w:r>
        <w:rPr>
          <w:rFonts w:ascii="Times New Roman" w:hAnsi="Times New Roman"/>
          <w:sz w:val="24"/>
          <w:szCs w:val="24"/>
        </w:rPr>
        <w:t>e)</w:t>
        <w:tab/>
        <w:t>Declaração de matrícula emitida pela instituição de ensino, contendo informações, sobre a carga horária prevista, a matrícula, o período cursado, a frequência regular e as datas previstas de início e término;</w:t>
      </w:r>
    </w:p>
    <w:p>
      <w:pPr>
        <w:pStyle w:val="ListParagraph"/>
        <w:tabs>
          <w:tab w:val="clear" w:pos="708"/>
          <w:tab w:val="left" w:pos="492" w:leader="none"/>
        </w:tabs>
        <w:spacing w:lineRule="auto" w:line="276" w:before="40" w:after="160"/>
        <w:ind w:left="2124" w:right="121" w:hanging="0"/>
        <w:contextualSpacing/>
        <w:rPr>
          <w:rFonts w:ascii="Times New Roman" w:hAnsi="Times New Roman"/>
          <w:sz w:val="24"/>
          <w:szCs w:val="24"/>
        </w:rPr>
      </w:pPr>
      <w:r>
        <w:rPr>
          <w:rFonts w:ascii="Times New Roman" w:hAnsi="Times New Roman"/>
          <w:sz w:val="24"/>
          <w:szCs w:val="24"/>
        </w:rPr>
        <w:t>f)</w:t>
        <w:tab/>
        <w:t>Comprovante de quitação de obrigações militares e eleitorais;</w:t>
      </w:r>
    </w:p>
    <w:p>
      <w:pPr>
        <w:pStyle w:val="ListParagraph"/>
        <w:tabs>
          <w:tab w:val="clear" w:pos="708"/>
          <w:tab w:val="left" w:pos="492" w:leader="none"/>
        </w:tabs>
        <w:spacing w:lineRule="auto" w:line="276" w:before="40" w:after="160"/>
        <w:ind w:left="2124" w:right="121" w:hanging="0"/>
        <w:contextualSpacing/>
        <w:rPr>
          <w:rFonts w:ascii="Times New Roman" w:hAnsi="Times New Roman"/>
          <w:sz w:val="24"/>
          <w:szCs w:val="24"/>
        </w:rPr>
      </w:pPr>
      <w:r>
        <w:rPr>
          <w:rFonts w:ascii="Times New Roman" w:hAnsi="Times New Roman"/>
          <w:sz w:val="24"/>
          <w:szCs w:val="24"/>
        </w:rPr>
        <w:t>g)</w:t>
        <w:tab/>
        <w:t xml:space="preserve"> 2 Fotos 3x4;</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sz w:val="24"/>
          <w:szCs w:val="24"/>
        </w:rPr>
      </w:pPr>
      <w:r>
        <w:rPr>
          <w:rFonts w:ascii="Times New Roman" w:hAnsi="Times New Roman"/>
          <w:sz w:val="24"/>
          <w:szCs w:val="24"/>
        </w:rPr>
        <w:t>h)</w:t>
        <w:tab/>
        <w:t xml:space="preserve"> Diploma de bacharel em Direito, reconhecido pelo Ministério da Educação ou certidão de conclusão de curso;</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sz w:val="24"/>
          <w:szCs w:val="24"/>
        </w:rPr>
      </w:pPr>
      <w:r>
        <w:rPr>
          <w:rFonts w:ascii="Times New Roman" w:hAnsi="Times New Roman"/>
          <w:sz w:val="24"/>
          <w:szCs w:val="24"/>
        </w:rPr>
        <w:t>i)</w:t>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sz w:val="24"/>
          <w:szCs w:val="24"/>
        </w:rPr>
      </w:pPr>
      <w:r>
        <w:rPr>
          <w:rFonts w:ascii="Times New Roman" w:hAnsi="Times New Roman"/>
          <w:sz w:val="24"/>
          <w:szCs w:val="24"/>
        </w:rPr>
        <w:t>j)</w:t>
        <w:tab/>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sz w:val="24"/>
          <w:szCs w:val="24"/>
        </w:rPr>
      </w:pPr>
      <w:r>
        <w:rPr>
          <w:rFonts w:ascii="Times New Roman" w:hAnsi="Times New Roman"/>
          <w:sz w:val="24"/>
          <w:szCs w:val="24"/>
        </w:rPr>
        <w:t>k)</w:t>
        <w:tab/>
        <w:t>Em se tratando de indivíduo inscrito como pessoa que possui algum tipo de deficiência faz-se necessária a apresentação do laudo médico comprobatório.</w:t>
      </w:r>
    </w:p>
    <w:p>
      <w:pPr>
        <w:pStyle w:val="ListParagraph"/>
        <w:tabs>
          <w:tab w:val="clear" w:pos="708"/>
          <w:tab w:val="left" w:pos="492" w:leader="none"/>
        </w:tabs>
        <w:spacing w:lineRule="auto" w:line="276" w:before="40" w:after="160"/>
        <w:ind w:left="2124" w:right="121" w:hanging="0"/>
        <w:contextualSpacing/>
        <w:rPr>
          <w:rFonts w:ascii="Times New Roman" w:hAnsi="Times New Roman"/>
          <w:sz w:val="24"/>
          <w:szCs w:val="24"/>
        </w:rPr>
      </w:pPr>
      <w:r>
        <w:rPr>
          <w:rFonts w:ascii="Times New Roman" w:hAnsi="Times New Roman"/>
          <w:sz w:val="24"/>
          <w:szCs w:val="24"/>
        </w:rPr>
      </w:r>
    </w:p>
    <w:p>
      <w:pPr>
        <w:pStyle w:val="ListParagraph"/>
        <w:widowControl w:val="false"/>
        <w:numPr>
          <w:ilvl w:val="1"/>
          <w:numId w:val="9"/>
        </w:numPr>
        <w:tabs>
          <w:tab w:val="clear" w:pos="708"/>
          <w:tab w:val="left" w:pos="740" w:leader="none"/>
        </w:tabs>
        <w:spacing w:lineRule="auto" w:line="276" w:before="0" w:after="0"/>
        <w:ind w:left="1053" w:right="119" w:hanging="7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Só serão admitidos como estagiários os estudantes de instituições de ensino conveniadas com a Defensoria Pública-Geral do Estado do Maranhão.</w:t>
      </w:r>
    </w:p>
    <w:p>
      <w:pPr>
        <w:pStyle w:val="Corpodotexto"/>
        <w:spacing w:lineRule="auto" w:line="276"/>
        <w:rPr>
          <w:rFonts w:ascii="Times New Roman" w:hAnsi="Times New Roman" w:cs="Times New Roman"/>
          <w:sz w:val="24"/>
          <w:szCs w:val="24"/>
        </w:rPr>
      </w:pPr>
      <w:r>
        <w:rPr>
          <w:rFonts w:cs="Times New Roman" w:ascii="Times New Roman" w:hAnsi="Times New Roman"/>
          <w:sz w:val="24"/>
          <w:szCs w:val="24"/>
        </w:rPr>
      </w:r>
    </w:p>
    <w:p>
      <w:pPr>
        <w:pStyle w:val="Corpodotexto"/>
        <w:spacing w:lineRule="auto" w:line="276"/>
        <w:rPr>
          <w:rFonts w:ascii="Times New Roman" w:hAnsi="Times New Roman" w:cs="Times New Roman"/>
          <w:sz w:val="24"/>
          <w:szCs w:val="24"/>
        </w:rPr>
      </w:pPr>
      <w:r>
        <w:rPr>
          <w:rFonts w:cs="Times New Roman" w:ascii="Times New Roman" w:hAnsi="Times New Roman"/>
          <w:sz w:val="24"/>
          <w:szCs w:val="24"/>
        </w:rPr>
      </w:r>
    </w:p>
    <w:p>
      <w:pPr>
        <w:pStyle w:val="Corpodotexto"/>
        <w:spacing w:lineRule="auto" w:line="276"/>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9"/>
        </w:numPr>
        <w:tabs>
          <w:tab w:val="clear" w:pos="708"/>
          <w:tab w:val="left" w:pos="558" w:leader="none"/>
        </w:tabs>
        <w:spacing w:lineRule="auto" w:line="276"/>
        <w:ind w:left="557" w:hanging="278"/>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DAS DISPOSIÇÕES FINAIS</w:t>
      </w:r>
    </w:p>
    <w:p>
      <w:pPr>
        <w:pStyle w:val="Corpodotexto"/>
        <w:spacing w:lineRule="auto" w:line="276" w:before="9" w:after="0"/>
        <w:rPr>
          <w:rFonts w:ascii="Times New Roman" w:hAnsi="Times New Roman" w:cs="Times New Roman"/>
          <w:b/>
          <w:b/>
          <w:sz w:val="24"/>
          <w:szCs w:val="24"/>
        </w:rPr>
      </w:pPr>
      <w:r>
        <w:rPr>
          <w:rFonts w:cs="Times New Roman" w:ascii="Times New Roman" w:hAnsi="Times New Roman"/>
          <w:b/>
          <w:sz w:val="24"/>
          <w:szCs w:val="24"/>
        </w:rPr>
      </w:r>
    </w:p>
    <w:p>
      <w:pPr>
        <w:pStyle w:val="ListParagraph"/>
        <w:widowControl w:val="false"/>
        <w:numPr>
          <w:ilvl w:val="1"/>
          <w:numId w:val="9"/>
        </w:numPr>
        <w:tabs>
          <w:tab w:val="clear" w:pos="708"/>
          <w:tab w:val="left" w:pos="755" w:leader="none"/>
        </w:tabs>
        <w:spacing w:lineRule="auto" w:line="276" w:before="0" w:after="0"/>
        <w:ind w:left="1053" w:right="122" w:hanging="0"/>
        <w:jc w:val="both"/>
        <w:rPr>
          <w:rFonts w:ascii="Times New Roman" w:hAnsi="Times New Roman"/>
          <w:sz w:val="24"/>
          <w:szCs w:val="24"/>
        </w:rPr>
      </w:pPr>
      <w:r>
        <w:rPr>
          <w:rFonts w:ascii="Times New Roman" w:hAnsi="Times New Roman"/>
          <w:sz w:val="24"/>
          <w:szCs w:val="24"/>
        </w:rPr>
        <w:t>A inscrição implica na aceitação por parte do candidato de todos os princípios, normas e condições do processo seletivo, estabelecidos no presente Edital e na legislação pertinente.</w:t>
      </w:r>
    </w:p>
    <w:p>
      <w:pPr>
        <w:pStyle w:val="Corpodotexto"/>
        <w:spacing w:lineRule="auto" w:line="276"/>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9"/>
        </w:numPr>
        <w:tabs>
          <w:tab w:val="clear" w:pos="708"/>
          <w:tab w:val="left" w:pos="740" w:leader="none"/>
        </w:tabs>
        <w:spacing w:lineRule="auto" w:line="276" w:before="0" w:after="0"/>
        <w:ind w:left="1053" w:right="123" w:hanging="0"/>
        <w:jc w:val="both"/>
        <w:rPr>
          <w:rFonts w:ascii="Times New Roman" w:hAnsi="Times New Roman"/>
          <w:sz w:val="24"/>
          <w:szCs w:val="24"/>
        </w:rPr>
      </w:pPr>
      <w:r>
        <w:rPr>
          <w:rFonts w:ascii="Times New Roman" w:hAnsi="Times New Roman"/>
          <w:sz w:val="24"/>
          <w:szCs w:val="24"/>
        </w:rPr>
        <w:t>A Comissão do Processo Seletivo não se responsabilizará por quaisquer cursos, textos, apostilas e outras publicações referentes ao processo seletivo.</w:t>
      </w:r>
    </w:p>
    <w:p>
      <w:pPr>
        <w:pStyle w:val="Corpodotexto"/>
        <w:spacing w:lineRule="auto" w:line="276" w:before="1"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9"/>
        </w:numPr>
        <w:tabs>
          <w:tab w:val="clear" w:pos="708"/>
          <w:tab w:val="left" w:pos="740" w:leader="none"/>
        </w:tabs>
        <w:spacing w:lineRule="auto" w:line="276" w:before="0" w:after="0"/>
        <w:ind w:left="1053" w:right="111" w:hanging="0"/>
        <w:jc w:val="both"/>
        <w:rPr>
          <w:rFonts w:ascii="Times New Roman" w:hAnsi="Times New Roman"/>
          <w:sz w:val="24"/>
          <w:szCs w:val="24"/>
        </w:rPr>
      </w:pPr>
      <w:r>
        <w:rPr>
          <w:rFonts w:ascii="Times New Roman" w:hAnsi="Times New Roman"/>
          <w:sz w:val="24"/>
          <w:szCs w:val="24"/>
        </w:rPr>
        <w:t xml:space="preserve">O candidato obriga-se a manter atualizado seu endereço para correspondência, junto ao </w:t>
      </w:r>
      <w:r>
        <w:rPr>
          <w:rFonts w:ascii="Times New Roman" w:hAnsi="Times New Roman"/>
          <w:b/>
          <w:sz w:val="24"/>
          <w:szCs w:val="24"/>
        </w:rPr>
        <w:t>Defensoria Pública do Estado do Maranhão</w:t>
      </w:r>
      <w:r>
        <w:rPr>
          <w:rFonts w:ascii="Times New Roman" w:hAnsi="Times New Roman"/>
          <w:sz w:val="24"/>
          <w:szCs w:val="24"/>
        </w:rPr>
        <w:t>, após o resultado final.</w:t>
      </w:r>
    </w:p>
    <w:p>
      <w:pPr>
        <w:pStyle w:val="ListParagraph"/>
        <w:rPr>
          <w:rFonts w:ascii="Times New Roman" w:hAnsi="Times New Roman"/>
          <w:sz w:val="24"/>
          <w:szCs w:val="24"/>
        </w:rPr>
      </w:pPr>
      <w:r>
        <w:rPr>
          <w:rFonts w:ascii="Times New Roman" w:hAnsi="Times New Roman"/>
          <w:sz w:val="24"/>
          <w:szCs w:val="24"/>
        </w:rPr>
      </w:r>
    </w:p>
    <w:p>
      <w:pPr>
        <w:pStyle w:val="ListParagraph"/>
        <w:widowControl w:val="false"/>
        <w:numPr>
          <w:ilvl w:val="1"/>
          <w:numId w:val="9"/>
        </w:numPr>
        <w:tabs>
          <w:tab w:val="clear" w:pos="708"/>
          <w:tab w:val="left" w:pos="740" w:leader="none"/>
        </w:tabs>
        <w:spacing w:lineRule="auto" w:line="276" w:before="0" w:after="0"/>
        <w:ind w:left="1053" w:right="111" w:hanging="0"/>
        <w:jc w:val="both"/>
        <w:rPr>
          <w:rFonts w:ascii="Times New Roman" w:hAnsi="Times New Roman"/>
          <w:sz w:val="24"/>
          <w:szCs w:val="24"/>
        </w:rPr>
      </w:pPr>
      <w:r>
        <w:rPr>
          <w:rFonts w:ascii="Times New Roman" w:hAnsi="Times New Roman"/>
          <w:sz w:val="24"/>
          <w:szCs w:val="24"/>
        </w:rPr>
        <w:t>O prazo de validade da presente seleção é de um ano, prorrogável por igual período, a critério da Defensoria Pública.</w:t>
      </w:r>
    </w:p>
    <w:p>
      <w:pPr>
        <w:pStyle w:val="Corpodotexto"/>
        <w:spacing w:lineRule="auto" w:line="276"/>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9"/>
        </w:numPr>
        <w:tabs>
          <w:tab w:val="clear" w:pos="708"/>
          <w:tab w:val="left" w:pos="815" w:leader="none"/>
        </w:tabs>
        <w:spacing w:lineRule="auto" w:line="276" w:before="1" w:after="0"/>
        <w:ind w:left="1053" w:right="111" w:hanging="0"/>
        <w:jc w:val="both"/>
        <w:rPr>
          <w:rFonts w:ascii="Times New Roman" w:hAnsi="Times New Roman"/>
          <w:sz w:val="24"/>
          <w:szCs w:val="24"/>
        </w:rPr>
      </w:pPr>
      <w:r>
        <w:rPr>
          <w:rFonts w:ascii="Times New Roman" w:hAnsi="Times New Roman"/>
          <w:sz w:val="24"/>
          <w:szCs w:val="24"/>
        </w:rPr>
        <w:t>A convocação para contratação dos candidatos habilitados obedecerá rigorosamente à ordem de classificação.</w:t>
      </w:r>
    </w:p>
    <w:p>
      <w:pPr>
        <w:pStyle w:val="Corpodotexto"/>
        <w:spacing w:lineRule="auto" w:line="276"/>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9"/>
        </w:numPr>
        <w:tabs>
          <w:tab w:val="clear" w:pos="708"/>
          <w:tab w:val="left" w:pos="1701" w:leader="none"/>
        </w:tabs>
        <w:spacing w:lineRule="auto" w:line="276" w:before="0" w:after="0"/>
        <w:ind w:left="1134" w:hanging="15"/>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Os casos omissos serão decididos pela Comissão do Processo             Seletivo.</w:t>
      </w:r>
    </w:p>
    <w:p>
      <w:pPr>
        <w:pStyle w:val="Corpodotexto"/>
        <w:spacing w:lineRule="auto" w:line="276" w:before="8"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9"/>
        </w:numPr>
        <w:tabs>
          <w:tab w:val="clear" w:pos="708"/>
          <w:tab w:val="left" w:pos="725" w:leader="none"/>
        </w:tabs>
        <w:spacing w:lineRule="auto" w:line="276" w:before="0" w:after="0"/>
        <w:ind w:left="720" w:firstLine="65"/>
        <w:contextualSpacing/>
        <w:jc w:val="both"/>
        <w:rPr>
          <w:rFonts w:ascii="Times New Roman" w:hAnsi="Times New Roman"/>
          <w:sz w:val="24"/>
          <w:szCs w:val="24"/>
        </w:rPr>
      </w:pPr>
      <w:r>
        <w:rPr>
          <w:rFonts w:ascii="Times New Roman" w:hAnsi="Times New Roman"/>
          <w:sz w:val="24"/>
          <w:szCs w:val="24"/>
        </w:rPr>
        <w:t>Caberá ao Subdefensor Público-Geral</w:t>
      </w:r>
      <w:r>
        <w:rPr>
          <w:rFonts w:ascii="Times New Roman" w:hAnsi="Times New Roman"/>
          <w:spacing w:val="-5"/>
          <w:sz w:val="24"/>
          <w:szCs w:val="24"/>
        </w:rPr>
        <w:t xml:space="preserve"> do Estado </w:t>
      </w:r>
      <w:r>
        <w:rPr>
          <w:rFonts w:ascii="Times New Roman" w:hAnsi="Times New Roman"/>
          <w:sz w:val="24"/>
          <w:szCs w:val="24"/>
        </w:rPr>
        <w:t>a homologação dos resultados deste processo seletivo.</w:t>
      </w:r>
    </w:p>
    <w:p>
      <w:pPr>
        <w:pStyle w:val="Corpodotexto"/>
        <w:spacing w:lineRule="auto" w:line="276" w:before="9"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9"/>
        </w:numPr>
        <w:tabs>
          <w:tab w:val="clear" w:pos="708"/>
          <w:tab w:val="left" w:pos="755" w:leader="none"/>
        </w:tabs>
        <w:spacing w:lineRule="auto" w:line="276" w:before="0" w:after="0"/>
        <w:ind w:left="1053" w:right="120" w:hanging="0"/>
        <w:jc w:val="both"/>
        <w:rPr>
          <w:rFonts w:ascii="Times New Roman" w:hAnsi="Times New Roman"/>
          <w:sz w:val="24"/>
          <w:szCs w:val="24"/>
        </w:rPr>
      </w:pPr>
      <w:r>
        <w:rPr>
          <w:rFonts w:ascii="Times New Roman" w:hAnsi="Times New Roman"/>
          <w:sz w:val="24"/>
          <w:szCs w:val="24"/>
        </w:rPr>
        <w:t xml:space="preserve">Os itens deste Edital poderão sofrer eventuais atualizações ou retificações, enquanto não concluído este processo seletivo, o que será publicado no endereço eletrônico </w:t>
      </w:r>
      <w:r>
        <w:rPr>
          <w:rFonts w:eastAsia="Times New Roman" w:ascii="Times New Roman" w:hAnsi="Times New Roman"/>
          <w:b/>
          <w:sz w:val="24"/>
          <w:szCs w:val="24"/>
          <w:u w:val="single"/>
          <w:lang w:eastAsia="pt-BR"/>
        </w:rPr>
        <w:t>defensoria.ma.def.br/seletivo</w:t>
      </w:r>
      <w:r>
        <w:rPr>
          <w:rFonts w:ascii="Times New Roman" w:hAnsi="Times New Roman"/>
          <w:sz w:val="24"/>
          <w:szCs w:val="24"/>
        </w:rPr>
        <w:t>.</w:t>
      </w:r>
    </w:p>
    <w:p>
      <w:pPr>
        <w:pStyle w:val="Corpodotexto"/>
        <w:spacing w:lineRule="auto" w:line="276"/>
        <w:rPr>
          <w:rFonts w:ascii="Times New Roman" w:hAnsi="Times New Roman" w:cs="Times New Roman"/>
          <w:sz w:val="24"/>
          <w:szCs w:val="24"/>
        </w:rPr>
      </w:pPr>
      <w:r>
        <w:rPr>
          <w:rFonts w:cs="Times New Roman" w:ascii="Times New Roman" w:hAnsi="Times New Roman"/>
          <w:sz w:val="24"/>
          <w:szCs w:val="24"/>
        </w:rPr>
      </w:r>
    </w:p>
    <w:p>
      <w:pPr>
        <w:pStyle w:val="Corpodotexto"/>
        <w:spacing w:lineRule="auto" w:line="276" w:before="94" w:after="0"/>
        <w:ind w:left="279" w:hanging="0"/>
        <w:jc w:val="right"/>
        <w:rPr>
          <w:rFonts w:ascii="Times New Roman" w:hAnsi="Times New Roman" w:cs="Times New Roman"/>
          <w:sz w:val="24"/>
          <w:szCs w:val="24"/>
        </w:rPr>
      </w:pPr>
      <w:r>
        <w:rPr>
          <w:rFonts w:cs="Times New Roman" w:ascii="Times New Roman" w:hAnsi="Times New Roman"/>
          <w:sz w:val="24"/>
          <w:szCs w:val="24"/>
        </w:rPr>
        <w:t xml:space="preserve">Publique-se e Cumpra-se     </w:t>
      </w:r>
    </w:p>
    <w:p>
      <w:pPr>
        <w:pStyle w:val="Corpodotexto"/>
        <w:spacing w:lineRule="auto" w:line="276" w:before="10" w:after="0"/>
        <w:rPr>
          <w:rFonts w:ascii="Times New Roman" w:hAnsi="Times New Roman" w:cs="Times New Roman"/>
          <w:sz w:val="24"/>
          <w:szCs w:val="24"/>
        </w:rPr>
      </w:pPr>
      <w:r>
        <w:rPr>
          <w:rFonts w:cs="Times New Roman" w:ascii="Times New Roman" w:hAnsi="Times New Roman"/>
          <w:sz w:val="24"/>
          <w:szCs w:val="24"/>
        </w:rPr>
      </w:r>
    </w:p>
    <w:p>
      <w:pPr>
        <w:pStyle w:val="Corpodotexto"/>
        <w:spacing w:lineRule="auto" w:line="276" w:before="10" w:after="0"/>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São Luís/MA, 29</w:t>
      </w:r>
      <w:bookmarkStart w:id="0" w:name="_GoBack"/>
      <w:bookmarkEnd w:id="0"/>
      <w:r>
        <w:rPr>
          <w:rFonts w:cs="Times New Roman" w:ascii="Times New Roman" w:hAnsi="Times New Roman"/>
          <w:sz w:val="24"/>
          <w:szCs w:val="24"/>
        </w:rPr>
        <w:t xml:space="preserve"> de janeiro de 2021.</w:t>
      </w:r>
    </w:p>
    <w:p>
      <w:pPr>
        <w:pStyle w:val="Corpodotexto"/>
        <w:spacing w:lineRule="auto" w:line="276" w:before="7" w:after="0"/>
        <w:rPr>
          <w:rFonts w:ascii="Times New Roman" w:hAnsi="Times New Roman" w:cs="Times New Roman"/>
          <w:sz w:val="24"/>
          <w:szCs w:val="24"/>
        </w:rPr>
      </w:pPr>
      <w:r>
        <w:rPr>
          <w:rFonts w:cs="Times New Roman" w:ascii="Times New Roman" w:hAnsi="Times New Roman"/>
          <w:sz w:val="24"/>
          <w:szCs w:val="24"/>
        </w:rPr>
      </w:r>
    </w:p>
    <w:p>
      <w:pPr>
        <w:pStyle w:val="Corpodotexto"/>
        <w:spacing w:lineRule="auto" w:line="276" w:before="7" w:after="0"/>
        <w:rPr>
          <w:rFonts w:ascii="Times New Roman" w:hAnsi="Times New Roman" w:cs="Times New Roman"/>
          <w:sz w:val="24"/>
          <w:szCs w:val="24"/>
        </w:rPr>
      </w:pPr>
      <w:r>
        <w:rPr>
          <w:rFonts w:cs="Times New Roman" w:ascii="Times New Roman" w:hAnsi="Times New Roman"/>
          <w:sz w:val="24"/>
          <w:szCs w:val="24"/>
        </w:rPr>
      </w:r>
    </w:p>
    <w:p>
      <w:pPr>
        <w:pStyle w:val="NoSpacing"/>
        <w:spacing w:before="120" w:after="120"/>
        <w:ind w:left="709" w:hanging="0"/>
        <w:jc w:val="center"/>
        <w:rPr>
          <w:rFonts w:ascii="Times New Roman" w:hAnsi="Times New Roman" w:cs="Times New Roman"/>
          <w:b/>
          <w:b/>
          <w:sz w:val="24"/>
          <w:szCs w:val="24"/>
          <w:lang w:val="pt-BR"/>
        </w:rPr>
      </w:pPr>
      <w:r>
        <w:rPr>
          <w:rFonts w:cs="Times New Roman" w:ascii="Times New Roman" w:hAnsi="Times New Roman"/>
          <w:b/>
          <w:sz w:val="24"/>
          <w:szCs w:val="24"/>
          <w:lang w:val="pt-BR"/>
        </w:rPr>
        <w:t>GABRIEL SANTANA FURTADO SOARES</w:t>
      </w:r>
    </w:p>
    <w:p>
      <w:pPr>
        <w:pStyle w:val="NoSpacing"/>
        <w:spacing w:before="120" w:after="120"/>
        <w:ind w:left="709" w:hanging="0"/>
        <w:jc w:val="center"/>
        <w:rPr>
          <w:rFonts w:ascii="Times New Roman" w:hAnsi="Times New Roman" w:cs="Times New Roman"/>
          <w:sz w:val="24"/>
          <w:szCs w:val="24"/>
          <w:lang w:val="pt-BR"/>
        </w:rPr>
      </w:pPr>
      <w:r>
        <w:rPr>
          <w:rFonts w:cs="Times New Roman" w:ascii="Times New Roman" w:hAnsi="Times New Roman"/>
          <w:sz w:val="24"/>
          <w:szCs w:val="24"/>
          <w:lang w:val="pt-BR"/>
        </w:rPr>
        <w:t>Subdefensor Público-Geral do Estado do Maranhão</w:t>
      </w:r>
    </w:p>
    <w:p>
      <w:pPr>
        <w:pStyle w:val="Normal"/>
        <w:jc w:val="center"/>
        <w:rPr>
          <w:rFonts w:ascii="Times New Roman" w:hAnsi="Times New Roman"/>
          <w:b/>
          <w:b/>
          <w:sz w:val="24"/>
          <w:szCs w:val="24"/>
        </w:rPr>
      </w:pPr>
      <w:r>
        <w:rPr>
          <w:rFonts w:ascii="Times New Roman" w:hAnsi="Times New Roman"/>
          <w:b/>
          <w:sz w:val="24"/>
          <w:szCs w:val="24"/>
        </w:rPr>
      </w:r>
    </w:p>
    <w:p>
      <w:pPr>
        <w:pStyle w:val="Normal"/>
        <w:rPr>
          <w:rFonts w:ascii="Times New Roman" w:hAnsi="Times New Roman"/>
          <w:b/>
          <w:b/>
          <w:sz w:val="24"/>
          <w:szCs w:val="24"/>
        </w:rPr>
      </w:pPr>
      <w:r>
        <w:rPr>
          <w:rFonts w:ascii="Times New Roman" w:hAnsi="Times New Roman"/>
          <w:b/>
          <w:sz w:val="24"/>
          <w:szCs w:val="24"/>
        </w:rPr>
      </w:r>
    </w:p>
    <w:p>
      <w:pPr>
        <w:pStyle w:val="Normal"/>
        <w:rPr>
          <w:rFonts w:ascii="Times New Roman" w:hAnsi="Times New Roman"/>
          <w:b/>
          <w:b/>
          <w:sz w:val="24"/>
          <w:szCs w:val="24"/>
        </w:rPr>
      </w:pPr>
      <w:r>
        <w:rPr>
          <w:rFonts w:ascii="Times New Roman" w:hAnsi="Times New Roman"/>
          <w:b/>
          <w:sz w:val="24"/>
          <w:szCs w:val="24"/>
        </w:rPr>
      </w:r>
    </w:p>
    <w:p>
      <w:pPr>
        <w:pStyle w:val="Normal"/>
        <w:jc w:val="center"/>
        <w:rPr>
          <w:rFonts w:ascii="Times New Roman" w:hAnsi="Times New Roman"/>
          <w:b/>
          <w:b/>
          <w:sz w:val="24"/>
          <w:szCs w:val="24"/>
        </w:rPr>
      </w:pPr>
      <w:r>
        <w:rPr>
          <w:rFonts w:ascii="Times New Roman" w:hAnsi="Times New Roman"/>
          <w:b/>
          <w:sz w:val="24"/>
          <w:szCs w:val="24"/>
        </w:rPr>
        <w:t>ANEXO I – CRONOGRAMA</w:t>
      </w:r>
    </w:p>
    <w:p>
      <w:pPr>
        <w:pStyle w:val="Normal"/>
        <w:jc w:val="center"/>
        <w:rPr>
          <w:rFonts w:ascii="Times New Roman" w:hAnsi="Times New Roman"/>
          <w:b/>
          <w:b/>
          <w:sz w:val="24"/>
          <w:szCs w:val="24"/>
        </w:rPr>
      </w:pPr>
      <w:r>
        <w:rPr>
          <w:rFonts w:ascii="Times New Roman" w:hAnsi="Times New Roman"/>
          <w:b/>
          <w:sz w:val="24"/>
          <w:szCs w:val="24"/>
        </w:rPr>
      </w:r>
    </w:p>
    <w:tbl>
      <w:tblPr>
        <w:tblStyle w:val="TableNormal"/>
        <w:tblW w:w="8495" w:type="dxa"/>
        <w:jc w:val="left"/>
        <w:tblInd w:w="512" w:type="dxa"/>
        <w:tblCellMar>
          <w:top w:w="0" w:type="dxa"/>
          <w:left w:w="108" w:type="dxa"/>
          <w:bottom w:w="0" w:type="dxa"/>
          <w:right w:w="108" w:type="dxa"/>
        </w:tblCellMar>
        <w:tblLook w:firstRow="1" w:noVBand="0" w:lastRow="1" w:firstColumn="1" w:lastColumn="1" w:noHBand="0" w:val="01e0"/>
      </w:tblPr>
      <w:tblGrid>
        <w:gridCol w:w="4609"/>
        <w:gridCol w:w="3885"/>
      </w:tblGrid>
      <w:tr>
        <w:trPr>
          <w:trHeight w:val="458"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1529" w:right="1522" w:hanging="0"/>
              <w:jc w:val="center"/>
              <w:rPr>
                <w:b/>
                <w:b/>
                <w:sz w:val="24"/>
                <w:szCs w:val="24"/>
              </w:rPr>
            </w:pPr>
            <w:r>
              <w:rPr>
                <w:rFonts w:cs="" w:cstheme="minorBidi"/>
                <w:b/>
                <w:sz w:val="24"/>
                <w:szCs w:val="24"/>
              </w:rPr>
              <w:t>ATIVIDADES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711" w:right="708" w:hanging="0"/>
              <w:jc w:val="center"/>
              <w:rPr>
                <w:b/>
                <w:b/>
                <w:sz w:val="24"/>
                <w:szCs w:val="24"/>
              </w:rPr>
            </w:pPr>
            <w:r>
              <w:rPr>
                <w:rFonts w:cs="" w:cstheme="minorBidi"/>
                <w:b/>
                <w:sz w:val="24"/>
                <w:szCs w:val="24"/>
              </w:rPr>
              <w:t>PERÍODO</w:t>
            </w:r>
          </w:p>
        </w:tc>
      </w:tr>
      <w:tr>
        <w:trPr>
          <w:trHeight w:val="849"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0" w:after="0"/>
              <w:jc w:val="both"/>
              <w:rPr>
                <w:b/>
                <w:b/>
                <w:sz w:val="24"/>
                <w:szCs w:val="24"/>
              </w:rPr>
            </w:pPr>
            <w:r>
              <w:rPr>
                <w:rFonts w:cs="" w:cstheme="minorBidi"/>
                <w:b/>
                <w:sz w:val="24"/>
                <w:szCs w:val="24"/>
              </w:rPr>
            </w:r>
          </w:p>
          <w:p>
            <w:pPr>
              <w:pStyle w:val="TableParagraph"/>
              <w:spacing w:before="1" w:after="0"/>
              <w:ind w:left="107" w:hanging="0"/>
              <w:jc w:val="both"/>
              <w:rPr>
                <w:sz w:val="24"/>
                <w:szCs w:val="24"/>
              </w:rPr>
            </w:pPr>
            <w:r>
              <w:rPr>
                <w:rFonts w:cs="" w:cstheme="minorBidi"/>
                <w:sz w:val="24"/>
                <w:szCs w:val="24"/>
              </w:rPr>
              <w:t>Inscrições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47" w:after="0"/>
              <w:ind w:left="174" w:right="149" w:firstLine="81"/>
              <w:rPr>
                <w:sz w:val="24"/>
                <w:szCs w:val="24"/>
              </w:rPr>
            </w:pPr>
            <w:r>
              <w:rPr>
                <w:rFonts w:cs="" w:cstheme="minorBidi"/>
                <w:sz w:val="24"/>
                <w:szCs w:val="24"/>
              </w:rPr>
              <w:t>Das 08:00 horas do dia 02/02/2021 até as 23:59 horas do dia 05/02/2021</w:t>
            </w:r>
          </w:p>
        </w:tc>
      </w:tr>
      <w:tr>
        <w:trPr>
          <w:trHeight w:val="852"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50" w:after="0"/>
              <w:ind w:left="107" w:hanging="0"/>
              <w:jc w:val="both"/>
              <w:rPr>
                <w:sz w:val="24"/>
                <w:szCs w:val="24"/>
              </w:rPr>
            </w:pPr>
            <w:r>
              <w:rPr>
                <w:rFonts w:cs="" w:cstheme="minorBidi"/>
                <w:sz w:val="24"/>
                <w:szCs w:val="24"/>
              </w:rPr>
              <w:t>Divulgação da lista preliminar de candidatos inscritos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0" w:after="0"/>
              <w:rPr>
                <w:b/>
                <w:b/>
                <w:sz w:val="24"/>
                <w:szCs w:val="24"/>
              </w:rPr>
            </w:pPr>
            <w:r>
              <w:rPr>
                <w:rFonts w:cs="" w:cstheme="minorBidi"/>
                <w:b/>
                <w:sz w:val="24"/>
                <w:szCs w:val="24"/>
              </w:rPr>
            </w:r>
          </w:p>
          <w:p>
            <w:pPr>
              <w:pStyle w:val="TableParagraph"/>
              <w:spacing w:before="1" w:after="0"/>
              <w:ind w:left="713" w:right="707" w:hanging="0"/>
              <w:jc w:val="center"/>
              <w:rPr>
                <w:sz w:val="24"/>
                <w:szCs w:val="24"/>
              </w:rPr>
            </w:pPr>
            <w:r>
              <w:rPr>
                <w:rFonts w:cs="" w:cstheme="minorBidi"/>
                <w:sz w:val="24"/>
                <w:szCs w:val="24"/>
              </w:rPr>
              <w:t>09/02/2021</w:t>
            </w:r>
          </w:p>
        </w:tc>
      </w:tr>
      <w:tr>
        <w:trPr>
          <w:trHeight w:val="851"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50" w:after="0"/>
              <w:ind w:left="107" w:right="80" w:hanging="0"/>
              <w:jc w:val="both"/>
              <w:rPr>
                <w:sz w:val="24"/>
                <w:szCs w:val="24"/>
              </w:rPr>
            </w:pPr>
            <w:r>
              <w:rPr>
                <w:rFonts w:cs="" w:cstheme="minorBidi"/>
                <w:sz w:val="24"/>
                <w:szCs w:val="24"/>
              </w:rPr>
              <w:t>Abertura de prazo para interposição de recurso contra inscrições indeferidas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0" w:after="0"/>
              <w:rPr>
                <w:b/>
                <w:b/>
                <w:sz w:val="24"/>
                <w:szCs w:val="24"/>
              </w:rPr>
            </w:pPr>
            <w:r>
              <w:rPr>
                <w:rFonts w:cs="" w:cstheme="minorBidi"/>
                <w:b/>
                <w:sz w:val="24"/>
                <w:szCs w:val="24"/>
              </w:rPr>
            </w:r>
          </w:p>
          <w:p>
            <w:pPr>
              <w:pStyle w:val="TableParagraph"/>
              <w:spacing w:before="1" w:after="0"/>
              <w:ind w:left="713" w:right="708" w:hanging="0"/>
              <w:jc w:val="center"/>
              <w:rPr>
                <w:sz w:val="24"/>
                <w:szCs w:val="24"/>
              </w:rPr>
            </w:pPr>
            <w:r>
              <w:rPr>
                <w:rFonts w:cs="" w:cstheme="minorBidi"/>
                <w:sz w:val="24"/>
                <w:szCs w:val="24"/>
              </w:rPr>
              <w:t>10/02/2021 e 11/02/2021</w:t>
            </w:r>
          </w:p>
        </w:tc>
      </w:tr>
      <w:tr>
        <w:trPr>
          <w:trHeight w:val="851"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lineRule="atLeast" w:line="270" w:before="11" w:after="0"/>
              <w:ind w:left="107" w:right="99" w:hanging="0"/>
              <w:jc w:val="both"/>
              <w:rPr>
                <w:sz w:val="24"/>
                <w:szCs w:val="24"/>
              </w:rPr>
            </w:pPr>
            <w:r>
              <w:rPr>
                <w:rFonts w:cs="" w:cstheme="minorBidi"/>
                <w:sz w:val="24"/>
                <w:szCs w:val="24"/>
              </w:rPr>
              <w:t>Divulgação de informação do julgamento dos recursos, homologação das inscrições e divulgação do resultado da análise curricular.</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0" w:after="0"/>
              <w:rPr>
                <w:b/>
                <w:b/>
                <w:sz w:val="24"/>
                <w:szCs w:val="24"/>
              </w:rPr>
            </w:pPr>
            <w:r>
              <w:rPr>
                <w:rFonts w:cs="" w:cstheme="minorBidi"/>
                <w:b/>
                <w:sz w:val="24"/>
                <w:szCs w:val="24"/>
              </w:rPr>
            </w:r>
          </w:p>
          <w:p>
            <w:pPr>
              <w:pStyle w:val="TableParagraph"/>
              <w:spacing w:before="1" w:after="0"/>
              <w:ind w:left="713" w:right="707" w:hanging="0"/>
              <w:jc w:val="center"/>
              <w:rPr>
                <w:sz w:val="24"/>
                <w:szCs w:val="24"/>
              </w:rPr>
            </w:pPr>
            <w:r>
              <w:rPr>
                <w:rFonts w:cs="" w:cstheme="minorBidi"/>
                <w:sz w:val="24"/>
                <w:szCs w:val="24"/>
              </w:rPr>
              <w:t>18/02/2021</w:t>
            </w:r>
          </w:p>
        </w:tc>
      </w:tr>
      <w:tr>
        <w:trPr>
          <w:trHeight w:val="849"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47" w:after="0"/>
              <w:ind w:left="107" w:right="80" w:hanging="0"/>
              <w:jc w:val="both"/>
              <w:rPr>
                <w:sz w:val="24"/>
                <w:szCs w:val="24"/>
              </w:rPr>
            </w:pPr>
            <w:r>
              <w:rPr>
                <w:rFonts w:cs="" w:cstheme="minorBidi"/>
                <w:sz w:val="24"/>
                <w:szCs w:val="24"/>
              </w:rPr>
              <w:t>Abertura de prazo para interposição de recurso em face da análise curricular;</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0" w:after="0"/>
              <w:rPr>
                <w:b/>
                <w:b/>
                <w:sz w:val="24"/>
                <w:szCs w:val="24"/>
              </w:rPr>
            </w:pPr>
            <w:r>
              <w:rPr>
                <w:rFonts w:cs="" w:cstheme="minorBidi"/>
                <w:b/>
                <w:sz w:val="24"/>
                <w:szCs w:val="24"/>
              </w:rPr>
            </w:r>
          </w:p>
          <w:p>
            <w:pPr>
              <w:pStyle w:val="TableParagraph"/>
              <w:spacing w:before="1" w:after="0"/>
              <w:ind w:left="713" w:right="708" w:hanging="0"/>
              <w:jc w:val="center"/>
              <w:rPr>
                <w:sz w:val="24"/>
                <w:szCs w:val="24"/>
              </w:rPr>
            </w:pPr>
            <w:r>
              <w:rPr>
                <w:rFonts w:cs="" w:cstheme="minorBidi"/>
                <w:sz w:val="24"/>
                <w:szCs w:val="24"/>
              </w:rPr>
              <w:t>19/02/2021 e 22/02/2021</w:t>
            </w:r>
          </w:p>
        </w:tc>
      </w:tr>
      <w:tr>
        <w:trPr>
          <w:trHeight w:val="851"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50" w:after="0"/>
              <w:ind w:left="107" w:hanging="0"/>
              <w:jc w:val="both"/>
              <w:rPr>
                <w:sz w:val="24"/>
                <w:szCs w:val="24"/>
              </w:rPr>
            </w:pPr>
            <w:r>
              <w:rPr>
                <w:rFonts w:cs="" w:cstheme="minorBidi"/>
                <w:sz w:val="24"/>
                <w:szCs w:val="24"/>
              </w:rPr>
              <w:t>Divulgação do julgamento dos recursos e convocação para prova dissertativa;</w:t>
            </w:r>
          </w:p>
          <w:p>
            <w:pPr>
              <w:pStyle w:val="TableParagraph"/>
              <w:spacing w:before="150" w:after="0"/>
              <w:ind w:left="107" w:hanging="0"/>
              <w:jc w:val="both"/>
              <w:rPr>
                <w:sz w:val="24"/>
                <w:szCs w:val="24"/>
              </w:rPr>
            </w:pPr>
            <w:r>
              <w:rPr>
                <w:rFonts w:cs="" w:cstheme="minorBidi"/>
                <w:sz w:val="24"/>
                <w:szCs w:val="24"/>
              </w:rPr>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0" w:after="0"/>
              <w:rPr>
                <w:b/>
                <w:b/>
                <w:sz w:val="24"/>
                <w:szCs w:val="24"/>
              </w:rPr>
            </w:pPr>
            <w:r>
              <w:rPr>
                <w:rFonts w:cs="" w:cstheme="minorBidi"/>
                <w:b/>
                <w:sz w:val="24"/>
                <w:szCs w:val="24"/>
              </w:rPr>
            </w:r>
          </w:p>
          <w:p>
            <w:pPr>
              <w:pStyle w:val="TableParagraph"/>
              <w:spacing w:before="1" w:after="0"/>
              <w:ind w:left="713" w:right="707" w:hanging="0"/>
              <w:jc w:val="center"/>
              <w:rPr>
                <w:sz w:val="24"/>
                <w:szCs w:val="24"/>
              </w:rPr>
            </w:pPr>
            <w:r>
              <w:rPr>
                <w:rFonts w:cs="" w:cstheme="minorBidi"/>
                <w:sz w:val="24"/>
                <w:szCs w:val="24"/>
              </w:rPr>
              <w:t>26/02/2021</w:t>
            </w:r>
          </w:p>
        </w:tc>
      </w:tr>
      <w:tr>
        <w:trPr>
          <w:trHeight w:val="852"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50" w:after="0"/>
              <w:ind w:left="107" w:hanging="0"/>
              <w:rPr>
                <w:color w:val="000000" w:themeColor="text1"/>
                <w:sz w:val="24"/>
                <w:szCs w:val="24"/>
              </w:rPr>
            </w:pPr>
            <w:r>
              <w:rPr>
                <w:rFonts w:cs="" w:cstheme="minorBidi"/>
                <w:color w:val="000000" w:themeColor="text1"/>
                <w:sz w:val="24"/>
                <w:szCs w:val="24"/>
              </w:rPr>
              <w:t>Prova Dissertativa;</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ind w:left="713" w:right="707" w:hanging="0"/>
              <w:jc w:val="center"/>
              <w:rPr>
                <w:color w:val="000000" w:themeColor="text1"/>
                <w:sz w:val="24"/>
                <w:szCs w:val="24"/>
              </w:rPr>
            </w:pPr>
            <w:r>
              <w:rPr>
                <w:rFonts w:cs=""/>
                <w:color w:val="000000" w:themeColor="text1"/>
                <w:sz w:val="24"/>
                <w:szCs w:val="24"/>
              </w:rPr>
            </w:r>
          </w:p>
          <w:p>
            <w:pPr>
              <w:pStyle w:val="TableParagraph"/>
              <w:ind w:left="713" w:right="707" w:hanging="0"/>
              <w:jc w:val="center"/>
              <w:rPr>
                <w:color w:val="000000" w:themeColor="text1"/>
                <w:sz w:val="24"/>
                <w:szCs w:val="24"/>
              </w:rPr>
            </w:pPr>
            <w:r>
              <w:rPr>
                <w:rFonts w:cs="" w:cstheme="minorBidi"/>
                <w:color w:val="000000" w:themeColor="text1"/>
                <w:sz w:val="24"/>
                <w:szCs w:val="24"/>
              </w:rPr>
              <w:t>A DEFINIR</w:t>
            </w:r>
          </w:p>
        </w:tc>
      </w:tr>
      <w:tr>
        <w:trPr>
          <w:trHeight w:val="852"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50" w:after="0"/>
              <w:rPr>
                <w:color w:val="000000" w:themeColor="text1"/>
                <w:sz w:val="24"/>
                <w:szCs w:val="24"/>
              </w:rPr>
            </w:pPr>
            <w:r>
              <w:rPr>
                <w:rFonts w:cs="" w:cstheme="minorBidi"/>
                <w:color w:val="000000" w:themeColor="text1"/>
                <w:sz w:val="24"/>
                <w:szCs w:val="24"/>
              </w:rPr>
              <w:t xml:space="preserve"> </w:t>
            </w:r>
            <w:r>
              <w:rPr>
                <w:rFonts w:cs="" w:cstheme="minorBidi"/>
                <w:color w:val="000000" w:themeColor="text1"/>
                <w:sz w:val="24"/>
                <w:szCs w:val="24"/>
              </w:rPr>
              <w:t>Resultado Preliminar;</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ind w:left="713" w:right="707" w:hanging="0"/>
              <w:jc w:val="center"/>
              <w:rPr>
                <w:color w:val="000000" w:themeColor="text1"/>
                <w:sz w:val="24"/>
                <w:szCs w:val="24"/>
              </w:rPr>
            </w:pPr>
            <w:r>
              <w:rPr>
                <w:rFonts w:cs=""/>
                <w:color w:val="000000" w:themeColor="text1"/>
                <w:sz w:val="24"/>
                <w:szCs w:val="24"/>
              </w:rPr>
            </w:r>
          </w:p>
          <w:p>
            <w:pPr>
              <w:pStyle w:val="TableParagraph"/>
              <w:ind w:left="713" w:right="707" w:hanging="0"/>
              <w:jc w:val="center"/>
              <w:rPr>
                <w:color w:val="000000" w:themeColor="text1"/>
                <w:sz w:val="24"/>
                <w:szCs w:val="24"/>
              </w:rPr>
            </w:pPr>
            <w:r>
              <w:rPr>
                <w:rFonts w:cs="" w:cstheme="minorBidi"/>
                <w:color w:val="000000" w:themeColor="text1"/>
                <w:sz w:val="24"/>
                <w:szCs w:val="24"/>
              </w:rPr>
              <w:t>A DEFINIR</w:t>
            </w:r>
          </w:p>
        </w:tc>
      </w:tr>
      <w:tr>
        <w:trPr>
          <w:trHeight w:val="852"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50" w:after="0"/>
              <w:rPr>
                <w:color w:val="000000" w:themeColor="text1"/>
                <w:sz w:val="24"/>
                <w:szCs w:val="24"/>
              </w:rPr>
            </w:pPr>
            <w:r>
              <w:rPr>
                <w:rFonts w:cs="" w:cstheme="minorBidi"/>
                <w:color w:val="000000" w:themeColor="text1"/>
                <w:sz w:val="24"/>
                <w:szCs w:val="24"/>
              </w:rPr>
              <w:t xml:space="preserve"> </w:t>
            </w:r>
            <w:r>
              <w:rPr>
                <w:rFonts w:cs="" w:cstheme="minorBidi"/>
                <w:color w:val="000000" w:themeColor="text1"/>
                <w:sz w:val="24"/>
                <w:szCs w:val="24"/>
              </w:rPr>
              <w:t xml:space="preserve">Prazo para interposição de recurso em face do    Resultado Preliminar; </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ind w:left="713" w:right="707" w:hanging="0"/>
              <w:jc w:val="center"/>
              <w:rPr>
                <w:color w:val="000000" w:themeColor="text1"/>
                <w:sz w:val="24"/>
                <w:szCs w:val="24"/>
              </w:rPr>
            </w:pPr>
            <w:r>
              <w:rPr>
                <w:rFonts w:cs=""/>
                <w:color w:val="000000" w:themeColor="text1"/>
                <w:sz w:val="24"/>
                <w:szCs w:val="24"/>
              </w:rPr>
            </w:r>
          </w:p>
          <w:p>
            <w:pPr>
              <w:pStyle w:val="TableParagraph"/>
              <w:ind w:left="713" w:right="707" w:hanging="0"/>
              <w:jc w:val="center"/>
              <w:rPr>
                <w:color w:val="000000" w:themeColor="text1"/>
                <w:sz w:val="24"/>
                <w:szCs w:val="24"/>
              </w:rPr>
            </w:pPr>
            <w:r>
              <w:rPr>
                <w:rFonts w:cs="" w:cstheme="minorBidi"/>
                <w:color w:val="000000" w:themeColor="text1"/>
                <w:sz w:val="24"/>
                <w:szCs w:val="24"/>
              </w:rPr>
              <w:t>A DEFINIR</w:t>
            </w:r>
          </w:p>
        </w:tc>
      </w:tr>
      <w:tr>
        <w:trPr>
          <w:trHeight w:val="852"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rPr>
                <w:b/>
                <w:b/>
                <w:color w:val="000000" w:themeColor="text1"/>
                <w:sz w:val="24"/>
                <w:szCs w:val="24"/>
              </w:rPr>
            </w:pPr>
            <w:r>
              <w:rPr>
                <w:rFonts w:cs=""/>
                <w:b/>
                <w:color w:val="000000" w:themeColor="text1"/>
                <w:sz w:val="24"/>
                <w:szCs w:val="24"/>
              </w:rPr>
            </w:r>
          </w:p>
          <w:p>
            <w:pPr>
              <w:pStyle w:val="TableParagraph"/>
              <w:ind w:left="107" w:hanging="0"/>
              <w:rPr>
                <w:color w:val="000000" w:themeColor="text1"/>
                <w:sz w:val="24"/>
                <w:szCs w:val="24"/>
              </w:rPr>
            </w:pPr>
            <w:r>
              <w:rPr>
                <w:rFonts w:cs="" w:cstheme="minorBidi"/>
                <w:color w:val="000000" w:themeColor="text1"/>
                <w:sz w:val="24"/>
                <w:szCs w:val="24"/>
              </w:rPr>
              <w:t>Resultado Final e Homologação do processo seletivo.</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ind w:left="712" w:right="708" w:hanging="0"/>
              <w:jc w:val="center"/>
              <w:rPr>
                <w:color w:val="000000" w:themeColor="text1"/>
                <w:sz w:val="24"/>
                <w:szCs w:val="24"/>
              </w:rPr>
            </w:pPr>
            <w:r>
              <w:rPr>
                <w:rFonts w:cs=""/>
                <w:color w:val="000000" w:themeColor="text1"/>
                <w:sz w:val="24"/>
                <w:szCs w:val="24"/>
              </w:rPr>
            </w:r>
          </w:p>
          <w:p>
            <w:pPr>
              <w:pStyle w:val="TableParagraph"/>
              <w:ind w:left="712" w:right="708" w:hanging="0"/>
              <w:jc w:val="center"/>
              <w:rPr>
                <w:color w:val="000000" w:themeColor="text1"/>
                <w:sz w:val="24"/>
                <w:szCs w:val="24"/>
              </w:rPr>
            </w:pPr>
            <w:r>
              <w:rPr>
                <w:rFonts w:cs="" w:cstheme="minorBidi"/>
                <w:color w:val="000000" w:themeColor="text1"/>
                <w:sz w:val="24"/>
                <w:szCs w:val="24"/>
              </w:rPr>
              <w:t>A DEFINIR</w:t>
            </w:r>
          </w:p>
        </w:tc>
      </w:tr>
    </w:tbl>
    <w:p>
      <w:pPr>
        <w:pStyle w:val="Normal"/>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r>
        <w:br w:type="page"/>
      </w:r>
    </w:p>
    <w:p>
      <w:pPr>
        <w:pStyle w:val="Normal"/>
        <w:widowControl w:val="false"/>
        <w:spacing w:lineRule="auto" w:line="276" w:before="0" w:after="0"/>
        <w:ind w:right="6" w:hanging="0"/>
        <w:rPr>
          <w:rFonts w:ascii="Times New Roman" w:hAnsi="Times New Roman"/>
          <w:b/>
          <w:b/>
          <w:bCs/>
          <w:spacing w:val="-27"/>
          <w:sz w:val="24"/>
          <w:szCs w:val="24"/>
        </w:rPr>
      </w:pPr>
      <w:r>
        <w:rPr>
          <w:rFonts w:ascii="Times New Roman" w:hAnsi="Times New Roman"/>
          <w:b/>
          <w:bCs/>
          <w:spacing w:val="-27"/>
          <w:sz w:val="24"/>
          <w:szCs w:val="24"/>
        </w:rPr>
      </w:r>
    </w:p>
    <w:p>
      <w:pPr>
        <w:pStyle w:val="Ttulo1"/>
        <w:numPr>
          <w:ilvl w:val="0"/>
          <w:numId w:val="7"/>
        </w:numPr>
        <w:tabs>
          <w:tab w:val="clear" w:pos="708"/>
          <w:tab w:val="left" w:pos="5265" w:leader="none"/>
        </w:tabs>
        <w:spacing w:lineRule="auto" w:line="276"/>
        <w:ind w:left="0" w:right="74" w:hanging="167"/>
        <w:jc w:val="center"/>
        <w:rPr>
          <w:rFonts w:ascii="Times New Roman" w:hAnsi="Times New Roman" w:cs="Times New Roman"/>
          <w:sz w:val="24"/>
          <w:szCs w:val="24"/>
        </w:rPr>
      </w:pPr>
      <w:r>
        <w:rPr>
          <w:rFonts w:cs="Times New Roman" w:ascii="Times New Roman" w:hAnsi="Times New Roman"/>
          <w:sz w:val="24"/>
          <w:szCs w:val="24"/>
        </w:rPr>
        <w:t>ANEXO II</w:t>
      </w:r>
    </w:p>
    <w:p>
      <w:pPr>
        <w:pStyle w:val="Corpodotexto"/>
        <w:spacing w:lineRule="auto" w:line="276"/>
        <w:rPr>
          <w:rFonts w:ascii="Times New Roman" w:hAnsi="Times New Roman" w:cs="Times New Roman"/>
          <w:sz w:val="24"/>
          <w:szCs w:val="24"/>
        </w:rPr>
      </w:pPr>
      <w:r>
        <w:rPr>
          <w:rFonts w:cs="Times New Roman" w:ascii="Times New Roman" w:hAnsi="Times New Roman"/>
          <w:sz w:val="24"/>
          <w:szCs w:val="24"/>
        </w:rPr>
      </w:r>
    </w:p>
    <w:p>
      <w:pPr>
        <w:pStyle w:val="Corpodotexto"/>
        <w:spacing w:lineRule="auto" w:line="276"/>
        <w:ind w:firstLine="279"/>
        <w:jc w:val="center"/>
        <w:rPr>
          <w:rFonts w:ascii="Times New Roman" w:hAnsi="Times New Roman" w:cs="Times New Roman"/>
          <w:sz w:val="24"/>
          <w:szCs w:val="24"/>
        </w:rPr>
      </w:pPr>
      <w:r>
        <w:rPr>
          <w:rFonts w:cs="Times New Roman" w:ascii="Times New Roman" w:hAnsi="Times New Roman"/>
          <w:b/>
          <w:sz w:val="24"/>
          <w:szCs w:val="24"/>
        </w:rPr>
        <w:t>CONTEÚDO PROGRAMÁTICO</w:t>
      </w:r>
    </w:p>
    <w:p>
      <w:pPr>
        <w:pStyle w:val="Normal"/>
        <w:widowControl w:val="false"/>
        <w:suppressAutoHyphens w:val="true"/>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DIREITO CONSTITUCIONAL</w:t>
      </w:r>
    </w:p>
    <w:p>
      <w:pPr>
        <w:pStyle w:val="Normal"/>
        <w:numPr>
          <w:ilvl w:val="0"/>
          <w:numId w:val="14"/>
        </w:numPr>
        <w:tabs>
          <w:tab w:val="clear" w:pos="708"/>
          <w:tab w:val="left" w:pos="284" w:leader="none"/>
        </w:tabs>
        <w:suppressAutoHyphens w:val="true"/>
        <w:spacing w:lineRule="auto" w:line="276" w:before="0" w:after="0"/>
        <w:ind w:left="0"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shd w:fill="FFFFFF" w:val="clear"/>
          <w:lang w:eastAsia="pt-BR"/>
        </w:rPr>
        <w:t>Introdução ao Direito Constitucional – estrutura da Constituição, conceito e noções.</w:t>
      </w:r>
    </w:p>
    <w:p>
      <w:pPr>
        <w:pStyle w:val="Normal"/>
        <w:numPr>
          <w:ilvl w:val="0"/>
          <w:numId w:val="14"/>
        </w:numPr>
        <w:tabs>
          <w:tab w:val="clear" w:pos="708"/>
          <w:tab w:val="left" w:pos="284" w:leader="none"/>
        </w:tabs>
        <w:suppressAutoHyphens w:val="true"/>
        <w:spacing w:lineRule="auto" w:line="276" w:before="0" w:after="0"/>
        <w:ind w:left="0"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shd w:fill="FFFFFF" w:val="clear"/>
          <w:lang w:eastAsia="pt-BR"/>
        </w:rPr>
        <w:t>Constitucionalismo: primitivo, antigo, medieval, na Idade Moderna, norte-americano, moderno, social e contemporâneo/neoconstitucionalismo.</w:t>
      </w:r>
    </w:p>
    <w:p>
      <w:pPr>
        <w:pStyle w:val="Normal"/>
        <w:numPr>
          <w:ilvl w:val="0"/>
          <w:numId w:val="14"/>
        </w:numPr>
        <w:tabs>
          <w:tab w:val="clear" w:pos="708"/>
          <w:tab w:val="left" w:pos="284" w:leader="none"/>
        </w:tabs>
        <w:suppressAutoHyphens w:val="true"/>
        <w:spacing w:lineRule="auto" w:line="276" w:before="0" w:after="0"/>
        <w:ind w:left="0"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shd w:fill="FFFFFF" w:val="clear"/>
          <w:lang w:eastAsia="pt-BR"/>
        </w:rPr>
        <w:t xml:space="preserve">Princípios Constitucionais </w:t>
      </w:r>
    </w:p>
    <w:p>
      <w:pPr>
        <w:pStyle w:val="Normal"/>
        <w:numPr>
          <w:ilvl w:val="0"/>
          <w:numId w:val="14"/>
        </w:numPr>
        <w:tabs>
          <w:tab w:val="clear" w:pos="708"/>
          <w:tab w:val="left" w:pos="284" w:leader="none"/>
        </w:tabs>
        <w:suppressAutoHyphens w:val="true"/>
        <w:spacing w:lineRule="auto" w:line="276" w:before="0" w:after="0"/>
        <w:ind w:left="0"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shd w:fill="FFFFFF" w:val="clear"/>
          <w:lang w:eastAsia="pt-BR"/>
        </w:rPr>
        <w:t>Teoria da Constituição. Conceitos de constituição: sentidos político, jurídico e sociológico. Classificação das constituições, classificação da CRFB/88. Poder constituinte originário e poder constituinte derivado. Nova ordem constitucional e ordem jurídica anterior. Classificação das normas constitucionais. História das constituições brasileiras.</w:t>
      </w:r>
    </w:p>
    <w:p>
      <w:pPr>
        <w:pStyle w:val="Normal"/>
        <w:widowControl w:val="false"/>
        <w:numPr>
          <w:ilvl w:val="0"/>
          <w:numId w:val="14"/>
        </w:numPr>
        <w:suppressAutoHyphens w:val="true"/>
        <w:spacing w:lineRule="auto" w:line="276" w:before="0" w:after="0"/>
        <w:ind w:left="0"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 xml:space="preserve">Princípios Fundamentais </w:t>
      </w:r>
    </w:p>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5.1. Direitos e Garantias Fundamentais </w:t>
      </w:r>
    </w:p>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6. Organização do Estado </w:t>
      </w:r>
    </w:p>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7. Organização dos Poderes</w:t>
      </w:r>
      <w:r>
        <w:rPr>
          <w:rFonts w:eastAsia="Times New Roman" w:ascii="Times New Roman" w:hAnsi="Times New Roman"/>
          <w:color w:val="000000" w:themeColor="text1"/>
          <w:sz w:val="24"/>
          <w:szCs w:val="24"/>
          <w:shd w:fill="FFFFFF" w:val="clear"/>
          <w:lang w:eastAsia="pt-BR"/>
        </w:rPr>
        <w:t xml:space="preserve"> Poder Judiciário. Súmula Vinculante. Poder Legislativo. Poder Executivo. Funções Essenciais à Justiça: Ministério Público. Funções Essenciais à Justiça: Advocacia Pública e Advocacia Privada. Funções Essenciais à Justiça: Defensoria Pública.</w:t>
      </w:r>
    </w:p>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8. Ordem Social</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9. </w:t>
      </w:r>
      <w:r>
        <w:rPr>
          <w:rFonts w:eastAsia="Times New Roman" w:ascii="Times New Roman" w:hAnsi="Times New Roman"/>
          <w:color w:val="000000" w:themeColor="text1"/>
          <w:sz w:val="24"/>
          <w:szCs w:val="24"/>
          <w:shd w:fill="FFFFFF" w:val="clear"/>
          <w:lang w:eastAsia="pt-BR"/>
        </w:rPr>
        <w:t>Controle de Constitucionalidade. Processo evolutivo, sistemas e métodos de controle de constitucionalidade. Ações do controle concentrado. Ação Direta de Inconstitucionalidade - ADIN. Ação Declaratória de Constitucionalidade - ADECON. ADO e ADPF.</w:t>
      </w:r>
    </w:p>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10. Remédios Constitucionais</w:t>
      </w:r>
    </w:p>
    <w:p>
      <w:pPr>
        <w:pStyle w:val="Normal"/>
        <w:suppressAutoHyphens w:val="true"/>
        <w:spacing w:lineRule="auto" w:line="276" w:before="0" w:after="0"/>
        <w:jc w:val="both"/>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bCs/>
          <w:color w:val="000000" w:themeColor="text1"/>
          <w:sz w:val="24"/>
          <w:szCs w:val="24"/>
          <w:lang w:eastAsia="zh-CN"/>
        </w:rPr>
        <w:t>DIREITO CIVIL</w:t>
      </w:r>
    </w:p>
    <w:p>
      <w:pPr>
        <w:pStyle w:val="Normal"/>
        <w:suppressAutoHyphens w:val="true"/>
        <w:spacing w:lineRule="auto" w:line="276" w:before="0" w:after="0"/>
        <w:jc w:val="both"/>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 Teoria Geral de Direito Civil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1.1. Lei de Introdução ao Código Civil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 Personalidade Jurídica e Direitos da Personalidade</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1.3. Pessoa Natural. Capacidade Civil. Teoria das Incapacidades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1.4. Pessoa Jurídica. Classificação. Desconsideração da Personalidade</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Jurídica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1.5. Bens Jurídicos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1.6. Teoria Geral dos Fatos Jurídicos. Ato Jurídico. Negócio Jurídico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Defeitos do Negócio Jurídico. Fato Ilícito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1.7. Prescrição e Decadência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2. Teoria Geral das Obrigações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2.1. Classificação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2.2. Transmissão das Obrigações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2.3. Adimplemento e Extinção das Obrigações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2.4. Inadimplemento das Obrigações. Mora. Consequência do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Inadimplemento das Obrigações. Perdas e Danos. Juros. Cláusula Penal.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Arras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3. Contratos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3.1. Formação dos Contratos. Principiologia Contratual. Classificação e</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Qualificação dos Contratos. Interpretação dos Contratos. Cessão dos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Contratos. Relatividades dos Contratos. Efeitos dos Contratos. Extinção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dos Contratos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3.2. Contrato de Compra e Venda. Doação. Transporte. Fiança e Transação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3.3. Contratos no Código de Defesa do Consumidor</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3.4. Responsabilidade Civil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4. Direitos Reais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4.1. Posse</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4.2. Propriedade. Usucapião. Condomínio. Direitos de Vizinhança. Perda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da Propriedade</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4.3 Superfície; servidões; usufruto; uso; habitação; promessa de compra e venda; penhor, hipoteca e anticrese</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5. Direito das Famílias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5.1. Princípios Constitucionais do Direito das Famílias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5.2. Casamento. Regime de Bens. Dissolução do Casamento (Divórcio).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5.3. União Estável.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5.4. Filiação e Reconhecimento de Filhos.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5.5. Tutela e Curatela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5.6. Sucessões; Sucessão Legítima; Sucessão Testamentária; Inventário e Partilha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 Alimentos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7. Lei da Ação de Alimentos - Leis nº. 5.478/68,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8. Lei dos Registros Públicos – Lei 6.015/73,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9. Lei do Divórcio – Lei 6.515/77,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10. Lei que regula a Investigação de Paternidade - Lei 8.560/92,</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11. Lei do Direito dos companheiros a alimentos e à sucessão – Lei 8.971/94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 Lei que regula o § 3° do art. 226 da Constituição Federal – Lei 9.278/96</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13. Estatuto da Pessoa com Deficiência.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bCs/>
          <w:color w:val="000000" w:themeColor="text1"/>
          <w:sz w:val="24"/>
          <w:szCs w:val="24"/>
          <w:lang w:eastAsia="zh-CN"/>
        </w:rPr>
        <w:t>DIREITO PROCESSUAL CIVIL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 Trilogia estrutural do processo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 Componentes (jurisdição, processo e ação).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 Jurisdição: conceitos político e jurídico; classificação; distinção entre a função jurisdicional e as demais funções estatais; princípios; classificações; limites; equivalentes jurisdicionais.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1.3. Processo: conceito; natureza jurídica; características da relação jurídica processual; princípios; espécies; relação com o procedimento; espécies de procedimentos; princípios procedimentais; pressupostos processuais; formação, suspensão e extinção do processo.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1.4. Ação: conceito, natureza jurídica; condições da ação; componentes; comparação entre as ações; cumulação de ações; julgamento da demanda (juízo de admissibilidade e juízo de admissibilidade de mérito).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2. Sujeitos do processo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2.1. Sujeitos do processo (partes, juízes e auxiliares).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2.2. Representantes processuais.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2.3. Substituição e sucessão processual.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2.4. Tratamento procedimental especial do idoso e do enfermo.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2.5. Curadoria especial.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2.6. Deveres das partes e seus procuradores.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2.7. Responsabilidade civil processual.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2.8. Litisconsórcio: conceito; espécies; princípios.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2.9. Defensoria Pública: aspectos processuais (intimação, prazo).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3. Intervenção de terceiro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3.1. Conceito; classificações; efeitos.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3.2. Modalidades de intervenção de terceiro: assistência; oposição; nomeação à autoria; denunciação da lide; chamamento ao processo; recurso de terceiro.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4. Competência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4.1. Conceito; classificação; princípios; critérios de fixação (territorial,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objetivo e funcional).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4.2. Distribuição.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4.3. Modificação da competência.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4.4. Incompetência: conceito; classificação; efeitos; arguição.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5. Atos processuais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5.1. Classificação; princípios.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5.2. Forma, tempo e lugar dos atos; prazos processuais.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5.3. Comunicações dos atos (cartas, citação, intimação e ofícios).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5.4. Teoria das nulidades.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6. Processo de conhecimento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6.1. Petição inicial: requisitos; emenda; complemento; julgamento liminar.</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6.2. Resposta do réu: espécies; regras.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6.3. Tutela de urgência (tutela antecipada, tutela inibitória e tutela cautelar).</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6.4. Providências preliminares (réplica, especificação em provas e</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manifestação sobre o interesse na realização da audiência preliminar)</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6.5. Julgamento conforme o estado do processo (extinção do processo e julgamento antecipado da lide).</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6.6. Saneamento do processo (audiência preliminar e despacho saneador)</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6.7. Direito probatório: Teoria geral das provas; provas em espécie.</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6.8. Audiência de instrução e julgamento: características; etapas.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6.9. Sentença: requisitos; efeitos; reexame necessário.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6.10. Coisa julgada: conceito; características; limites;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7. Recursos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7.1. Teoria geral dos recursos: conceito; princípios fundamentais; natureza jurídica; fundamentos; outros meios impugnativos; classificação; situações que desafiam recursos; condição jurídica da decisão sujeita a recurso; interposição dos recursos (principal e adesivo); julgamento dos recursos (juízo de admissibilidade e juízo de mérito); efeitos dos recursos; direito intertemporal; Cessação dos efeitos dos recursos.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7.2. Recursos em espécie: apelação; agravos; embargos de declaração; recurso ordinário; recurso excepcional (extraordinário e especial); embargos de divergência.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8. Execução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8.1. Execução em geral – das modalidades de execução;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8.2. Execução de prestação alimentícia;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9. Processo Cautelar</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9.1. Disposições gerais; busca e apreensão, alimentos provisionais e arrolamento de bens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10. Cumprimento de Sentença. </w:t>
      </w:r>
    </w:p>
    <w:p>
      <w:pPr>
        <w:pStyle w:val="Normal"/>
        <w:suppressAutoHyphens w:val="true"/>
        <w:spacing w:lineRule="auto" w:line="276" w:before="0" w:after="0"/>
        <w:jc w:val="both"/>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bCs/>
          <w:color w:val="000000" w:themeColor="text1"/>
          <w:sz w:val="24"/>
          <w:szCs w:val="24"/>
          <w:lang w:eastAsia="zh-CN"/>
        </w:rPr>
        <w:t>DIREITO PENAL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 xml:space="preserve"> </w:t>
      </w:r>
      <w:r>
        <w:rPr>
          <w:rFonts w:eastAsia="Times New Roman" w:ascii="Times New Roman" w:hAnsi="Times New Roman"/>
          <w:bCs/>
          <w:color w:val="000000" w:themeColor="text1"/>
          <w:sz w:val="24"/>
          <w:szCs w:val="24"/>
          <w:lang w:eastAsia="zh-CN"/>
        </w:rPr>
        <w:t>1. Parte Geral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 Princípios Penais Constitucionais.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 Da Aplicação e da Interpretação da Lei Penal.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1.3. Da Teoria do Crime.</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1.4. Da Ação Típica.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1.5. Da Ilicitude.</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1.6. Da Culpabilidade.</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1.7. Teoria do Erro Jurídico Penal.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1.8. Concurso de Pessoas.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1.9. Das Penas e suas Espécies.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1.10. Aplicação da Pena.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1.11. Concurso de Crimes.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1.12. Suspensão Condicional da Pena.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1.13. Livramento Condicional.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1.14. Das Medidas de Segurança.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1.15. Da Ação Penal.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1.16. Das Causas Extintivas da Punibilidade</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2. Parte Especial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2.1. Dos Crimes contra a Pessoa.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2.2. Dos Crimes contra o Patrimônio.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2.3. Dos Crimes contra Dignidade Sexual.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2.4. Dos Crimes contra Administração Pública.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3. Lei de Execução Penal (LEP)</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4. Lei dos Crime Hediondos (Lei nº 8.072/90)</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5. Lei Maria da Penha (Lei nº 11.340/2006)</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6. Lei de Drogas (Lei nº 11.343/2006)</w:t>
      </w:r>
    </w:p>
    <w:p>
      <w:pPr>
        <w:pStyle w:val="Normal"/>
        <w:suppressAutoHyphens w:val="true"/>
        <w:spacing w:lineRule="auto" w:line="276" w:before="0" w:after="0"/>
        <w:jc w:val="both"/>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t>7. Lei do Pacote “AntiCrime” (Lei nº 13.964/2019).</w:t>
      </w:r>
    </w:p>
    <w:p>
      <w:pPr>
        <w:pStyle w:val="Normal"/>
        <w:suppressAutoHyphens w:val="true"/>
        <w:spacing w:lineRule="auto" w:line="276" w:before="0" w:after="0"/>
        <w:jc w:val="both"/>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bCs/>
          <w:color w:val="000000" w:themeColor="text1"/>
          <w:sz w:val="24"/>
          <w:szCs w:val="24"/>
          <w:lang w:eastAsia="zh-CN"/>
        </w:rPr>
        <w:t xml:space="preserve"> </w:t>
      </w:r>
      <w:r>
        <w:rPr>
          <w:rFonts w:eastAsia="Times New Roman" w:ascii="Times New Roman" w:hAnsi="Times New Roman"/>
          <w:b/>
          <w:bCs/>
          <w:color w:val="000000" w:themeColor="text1"/>
          <w:sz w:val="24"/>
          <w:szCs w:val="24"/>
          <w:lang w:eastAsia="zh-CN"/>
        </w:rPr>
        <w:t>DIREITO PROCESSUAL PENAL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 Princípios Constitucionais.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2. Do Inquérito Policial.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3. Da Ação Penal.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4. Da Competência.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5. Da Prova.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6. Da Prisão, das Medidas Cautelares e da Liberdade Provisória (com as alterações trazidas pela Lei 12.403/11 e Lei nº 13.964/2019)</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7. Das Citações e Intimações.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8. Da Sentença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9. Dos Processos em Espécie.</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9.1. Do Processo Comum</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9.1.1. Da Instrução Criminal.9.1.2. Do Procedimento Relativo aos Processos de Competência do Tribunal do Júri.</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10. Dos Recursos em Geral.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11. Habeas Corpus.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12. Revisão Criminal.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Da Sentença – Dos Processos em espécie – Da Instrução Criminal – Júri - Dos Recursos em Geral – Denúncia e Prazos em Processo Penal – Ações Autônomas de Impugnação: Habeas Corpus e Revisão Criminal.</w:t>
      </w:r>
    </w:p>
    <w:p>
      <w:pPr>
        <w:pStyle w:val="Normal"/>
        <w:spacing w:lineRule="auto" w:line="276" w:before="0" w:after="160"/>
        <w:jc w:val="right"/>
        <w:rPr>
          <w:rFonts w:ascii="Times New Roman" w:hAnsi="Times New Roman"/>
          <w:sz w:val="24"/>
          <w:szCs w:val="24"/>
        </w:rPr>
      </w:pPr>
      <w:r>
        <w:rPr/>
      </w:r>
    </w:p>
    <w:sectPr>
      <w:headerReference w:type="default" r:id="rId10"/>
      <w:footerReference w:type="default" r:id="rId11"/>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Tahoma">
    <w:charset w:val="00"/>
    <w:family w:val="roman"/>
    <w:pitch w:val="variable"/>
  </w:font>
  <w:font w:name="Ecofont Vera Sans">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18"/>
      </w:numPr>
      <w:spacing w:before="0" w:after="0"/>
      <w:jc w:val="center"/>
      <w:rPr>
        <w:rFonts w:ascii="Ecofont Vera Sans" w:hAnsi="Ecofont Vera Sans"/>
        <w:color w:val="auto"/>
        <w:kern w:val="2"/>
        <w:sz w:val="20"/>
      </w:rPr>
    </w:pPr>
    <w:r>
      <mc:AlternateContent>
        <mc:Choice Requires="wps">
          <w:drawing>
            <wp:anchor behindDoc="1" distT="0" distB="0" distL="0" distR="0" simplePos="0" locked="0" layoutInCell="1" allowOverlap="1" relativeHeight="20" wp14:anchorId="0F899D7F">
              <wp:simplePos x="0" y="0"/>
              <wp:positionH relativeFrom="column">
                <wp:posOffset>509270</wp:posOffset>
              </wp:positionH>
              <wp:positionV relativeFrom="paragraph">
                <wp:posOffset>-33020</wp:posOffset>
              </wp:positionV>
              <wp:extent cx="4568825" cy="635"/>
              <wp:effectExtent l="19050" t="19050" r="41910" b="38100"/>
              <wp:wrapNone/>
              <wp:docPr id="2" name="Conector reto 2"/>
              <a:graphic xmlns:a="http://schemas.openxmlformats.org/drawingml/2006/main">
                <a:graphicData uri="http://schemas.microsoft.com/office/word/2010/wordprocessingShape">
                  <wps:wsp>
                    <wps:cNvSpPr/>
                    <wps:spPr>
                      <a:xfrm>
                        <a:off x="0" y="0"/>
                        <a:ext cx="4568040" cy="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6pt" to="399.75pt,-2.6pt" ID="Conector reto 2" stroked="t" style="position:absolute" wp14:anchorId="0F899D7F">
              <v:stroke color="#005400" weight="9360" joinstyle="miter" endcap="square"/>
              <v:fill o:detectmouseclick="t" on="false"/>
            </v:line>
          </w:pict>
        </mc:Fallback>
      </mc:AlternateContent>
    </w:r>
    <w:r>
      <w:rPr>
        <w:rFonts w:ascii="Ecofont Vera Sans" w:hAnsi="Ecofont Vera Sans"/>
        <w:color w:val="auto"/>
        <w:sz w:val="20"/>
      </w:rPr>
      <w:t>Rua da Estrela, 421, Reviver – São Luís/MA – CEP 65010-200</w:t>
    </w:r>
  </w:p>
  <w:p>
    <w:pPr>
      <w:pStyle w:val="Normal"/>
      <w:jc w:val="center"/>
      <w:rPr>
        <w:rFonts w:ascii="Ecofont Vera Sans" w:hAnsi="Ecofont Vera Sans"/>
        <w:i/>
        <w:i/>
        <w:sz w:val="20"/>
        <w:szCs w:val="20"/>
      </w:rPr>
    </w:pPr>
    <w:r>
      <w:rPr>
        <w:rFonts w:ascii="Ecofont Vera Sans" w:hAnsi="Ecofont Vera Sans"/>
        <w:i/>
        <w:sz w:val="20"/>
        <w:szCs w:val="20"/>
      </w:rPr>
      <w:t xml:space="preserve">Telefone: (98) 3221-1343 – (98) 3221-6110 </w:t>
    </w:r>
  </w:p>
  <w:p>
    <w:pPr>
      <w:pStyle w:val="Normal"/>
      <w:jc w:val="center"/>
      <w:rPr>
        <w:rFonts w:ascii="Ecofont Vera Sans" w:hAnsi="Ecofont Vera Sans"/>
        <w:sz w:val="20"/>
        <w:szCs w:val="20"/>
      </w:rPr>
    </w:pPr>
    <w:r>
      <w:rPr>
        <w:rFonts w:ascii="Ecofont Vera Sans" w:hAnsi="Ecofont Vera Sans"/>
        <w:i/>
        <w:sz w:val="20"/>
        <w:szCs w:val="20"/>
      </w:rPr>
      <w:t>defensoria.ma.def.br</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drawing>
        <wp:anchor behindDoc="1" distT="0" distB="0" distL="0" distR="0" simplePos="0" locked="0" layoutInCell="1" allowOverlap="1" relativeHeight="39">
          <wp:simplePos x="0" y="0"/>
          <wp:positionH relativeFrom="column">
            <wp:posOffset>2092325</wp:posOffset>
          </wp:positionH>
          <wp:positionV relativeFrom="paragraph">
            <wp:posOffset>-168910</wp:posOffset>
          </wp:positionV>
          <wp:extent cx="1104900" cy="908685"/>
          <wp:effectExtent l="0" t="0" r="0" b="0"/>
          <wp:wrapSquare wrapText="largest"/>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anchor>
      </w:drawing>
    </w:r>
  </w:p>
  <w:p>
    <w:pPr>
      <w:pStyle w:val="Normal"/>
      <w:tabs>
        <w:tab w:val="clear" w:pos="708"/>
        <w:tab w:val="left" w:pos="3045" w:leader="none"/>
      </w:tabs>
      <w:spacing w:lineRule="auto" w:line="240"/>
      <w:rPr/>
    </w:pPr>
    <w:r>
      <w:rPr>
        <w:rFonts w:ascii="Tahoma" w:hAnsi="Tahoma"/>
        <w:b/>
        <w:spacing w:val="20"/>
        <w:w w:val="105"/>
        <w:sz w:val="4"/>
      </w:rPr>
      <w:tab/>
    </w:r>
  </w:p>
  <w:p>
    <w:pPr>
      <w:pStyle w:val="Normal"/>
      <w:spacing w:lineRule="auto" w:line="240" w:before="0" w:after="160"/>
      <w:jc w:val="center"/>
      <w:rPr>
        <w:b/>
        <w:b/>
        <w:spacing w:val="20"/>
        <w:w w:val="105"/>
      </w:rPr>
    </w:pPr>
    <w:r>
      <w:rPr>
        <w:b/>
        <w:spacing w:val="20"/>
        <w:w w:val="105"/>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1129" w:hanging="420"/>
      </w:pPr>
      <w:rPr>
        <w:b w:val="false"/>
      </w:rPr>
    </w:lvl>
    <w:lvl w:ilvl="2">
      <w:start w:val="1"/>
      <w:numFmt w:val="decimal"/>
      <w:lvlText w:val="%1.%2.%3"/>
      <w:lvlJc w:val="left"/>
      <w:pPr>
        <w:tabs>
          <w:tab w:val="num" w:pos="0"/>
        </w:tabs>
        <w:ind w:left="1080" w:hanging="720"/>
      </w:pPr>
      <w:rPr>
        <w:b w:val="false"/>
        <w:bCs w:val="false"/>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lowerLetter"/>
      <w:lvlText w:val="%1)"/>
      <w:lvlJc w:val="left"/>
      <w:pPr>
        <w:tabs>
          <w:tab w:val="num" w:pos="0"/>
        </w:tabs>
        <w:ind w:left="1140" w:hanging="360"/>
      </w:pPr>
      <w:rPr>
        <w:rFonts w:eastAsia="Calibri" w:cs="Times New Roman"/>
      </w:r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4">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5">
    <w:lvl w:ilvl="0">
      <w:start w:val="1"/>
      <w:numFmt w:val="upperLetter"/>
      <w:lvlText w:val="%1."/>
      <w:lvlJc w:val="left"/>
      <w:pPr>
        <w:tabs>
          <w:tab w:val="num" w:pos="0"/>
        </w:tabs>
        <w:ind w:left="513" w:hanging="234"/>
      </w:pPr>
      <w:rPr>
        <w:sz w:val="24"/>
        <w:spacing w:val="-1"/>
        <w:szCs w:val="24"/>
        <w:w w:val="100"/>
        <w:lang w:val="pt-BR"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6">
    <w:lvl w:ilvl="0">
      <w:start w:val="1"/>
      <w:numFmt w:val="upperLetter"/>
      <w:lvlText w:val="%1."/>
      <w:lvlJc w:val="left"/>
      <w:pPr>
        <w:tabs>
          <w:tab w:val="num" w:pos="0"/>
        </w:tabs>
        <w:ind w:left="513" w:hanging="234"/>
      </w:pPr>
      <w:rPr>
        <w:sz w:val="20"/>
        <w:spacing w:val="-1"/>
        <w:szCs w:val="20"/>
        <w:w w:val="100"/>
        <w:lang w:val="pt-PT"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7">
    <w:lvl w:ilvl="0">
      <w:start w:val="1"/>
      <w:numFmt w:val="none"/>
      <w:suff w:val="nothing"/>
      <w:lvlText w:val=""/>
      <w:lvlJc w:val="left"/>
      <w:pPr>
        <w:tabs>
          <w:tab w:val="num" w:pos="0"/>
        </w:tabs>
        <w:ind w:left="1395" w:hanging="0"/>
      </w:pPr>
    </w:lvl>
    <w:lvl w:ilvl="1">
      <w:start w:val="1"/>
      <w:numFmt w:val="none"/>
      <w:suff w:val="nothing"/>
      <w:lvlText w:val=""/>
      <w:lvlJc w:val="left"/>
      <w:pPr>
        <w:tabs>
          <w:tab w:val="num" w:pos="0"/>
        </w:tabs>
        <w:ind w:left="1395" w:hanging="0"/>
      </w:pPr>
    </w:lvl>
    <w:lvl w:ilvl="2">
      <w:start w:val="1"/>
      <w:numFmt w:val="none"/>
      <w:suff w:val="nothing"/>
      <w:lvlText w:val=""/>
      <w:lvlJc w:val="left"/>
      <w:pPr>
        <w:tabs>
          <w:tab w:val="num" w:pos="0"/>
        </w:tabs>
        <w:ind w:left="1395" w:hanging="0"/>
      </w:pPr>
    </w:lvl>
    <w:lvl w:ilvl="3">
      <w:start w:val="1"/>
      <w:numFmt w:val="none"/>
      <w:suff w:val="nothing"/>
      <w:lvlText w:val=""/>
      <w:lvlJc w:val="left"/>
      <w:pPr>
        <w:tabs>
          <w:tab w:val="num" w:pos="0"/>
        </w:tabs>
        <w:ind w:left="1395" w:hanging="0"/>
      </w:pPr>
    </w:lvl>
    <w:lvl w:ilvl="4">
      <w:start w:val="1"/>
      <w:numFmt w:val="none"/>
      <w:suff w:val="nothing"/>
      <w:lvlText w:val=""/>
      <w:lvlJc w:val="left"/>
      <w:pPr>
        <w:tabs>
          <w:tab w:val="num" w:pos="0"/>
        </w:tabs>
        <w:ind w:left="1395" w:hanging="0"/>
      </w:pPr>
    </w:lvl>
    <w:lvl w:ilvl="5">
      <w:start w:val="1"/>
      <w:numFmt w:val="none"/>
      <w:suff w:val="nothing"/>
      <w:lvlText w:val=""/>
      <w:lvlJc w:val="left"/>
      <w:pPr>
        <w:tabs>
          <w:tab w:val="num" w:pos="0"/>
        </w:tabs>
        <w:ind w:left="1395" w:hanging="0"/>
      </w:pPr>
    </w:lvl>
    <w:lvl w:ilvl="6">
      <w:start w:val="1"/>
      <w:numFmt w:val="none"/>
      <w:suff w:val="nothing"/>
      <w:lvlText w:val=""/>
      <w:lvlJc w:val="left"/>
      <w:pPr>
        <w:tabs>
          <w:tab w:val="num" w:pos="0"/>
        </w:tabs>
        <w:ind w:left="1395" w:hanging="0"/>
      </w:pPr>
    </w:lvl>
    <w:lvl w:ilvl="7">
      <w:start w:val="1"/>
      <w:numFmt w:val="none"/>
      <w:suff w:val="nothing"/>
      <w:lvlText w:val=""/>
      <w:lvlJc w:val="left"/>
      <w:pPr>
        <w:tabs>
          <w:tab w:val="num" w:pos="0"/>
        </w:tabs>
        <w:ind w:left="1395" w:hanging="0"/>
      </w:pPr>
    </w:lvl>
    <w:lvl w:ilvl="8">
      <w:start w:val="1"/>
      <w:numFmt w:val="none"/>
      <w:suff w:val="nothing"/>
      <w:lvlText w:val=""/>
      <w:lvlJc w:val="left"/>
      <w:pPr>
        <w:tabs>
          <w:tab w:val="num" w:pos="0"/>
        </w:tabs>
        <w:ind w:left="1395" w:hanging="0"/>
      </w:pPr>
    </w:lvl>
  </w:abstractNum>
  <w:abstractNum w:abstractNumId="8">
    <w:lvl w:ilvl="0">
      <w:start w:val="2"/>
      <w:numFmt w:val="upperLetter"/>
      <w:lvlText w:val="%1."/>
      <w:lvlJc w:val="left"/>
      <w:pPr>
        <w:tabs>
          <w:tab w:val="num" w:pos="0"/>
        </w:tabs>
        <w:ind w:left="2860" w:hanging="360"/>
      </w:pPr>
    </w:lvl>
    <w:lvl w:ilvl="1">
      <w:start w:val="1"/>
      <w:numFmt w:val="lowerLetter"/>
      <w:lvlText w:val="%2."/>
      <w:lvlJc w:val="left"/>
      <w:pPr>
        <w:tabs>
          <w:tab w:val="num" w:pos="0"/>
        </w:tabs>
        <w:ind w:left="3580" w:hanging="360"/>
      </w:pPr>
    </w:lvl>
    <w:lvl w:ilvl="2">
      <w:start w:val="1"/>
      <w:numFmt w:val="lowerRoman"/>
      <w:lvlText w:val="%3."/>
      <w:lvlJc w:val="right"/>
      <w:pPr>
        <w:tabs>
          <w:tab w:val="num" w:pos="0"/>
        </w:tabs>
        <w:ind w:left="4300" w:hanging="180"/>
      </w:pPr>
    </w:lvl>
    <w:lvl w:ilvl="3">
      <w:start w:val="1"/>
      <w:numFmt w:val="decimal"/>
      <w:lvlText w:val="%4."/>
      <w:lvlJc w:val="left"/>
      <w:pPr>
        <w:tabs>
          <w:tab w:val="num" w:pos="0"/>
        </w:tabs>
        <w:ind w:left="5020" w:hanging="360"/>
      </w:pPr>
    </w:lvl>
    <w:lvl w:ilvl="4">
      <w:start w:val="1"/>
      <w:numFmt w:val="lowerLetter"/>
      <w:lvlText w:val="%5."/>
      <w:lvlJc w:val="left"/>
      <w:pPr>
        <w:tabs>
          <w:tab w:val="num" w:pos="0"/>
        </w:tabs>
        <w:ind w:left="5740" w:hanging="360"/>
      </w:pPr>
    </w:lvl>
    <w:lvl w:ilvl="5">
      <w:start w:val="1"/>
      <w:numFmt w:val="lowerRoman"/>
      <w:lvlText w:val="%6."/>
      <w:lvlJc w:val="right"/>
      <w:pPr>
        <w:tabs>
          <w:tab w:val="num" w:pos="0"/>
        </w:tabs>
        <w:ind w:left="6460" w:hanging="180"/>
      </w:pPr>
    </w:lvl>
    <w:lvl w:ilvl="6">
      <w:start w:val="1"/>
      <w:numFmt w:val="decimal"/>
      <w:lvlText w:val="%7."/>
      <w:lvlJc w:val="left"/>
      <w:pPr>
        <w:tabs>
          <w:tab w:val="num" w:pos="0"/>
        </w:tabs>
        <w:ind w:left="7180" w:hanging="360"/>
      </w:pPr>
    </w:lvl>
    <w:lvl w:ilvl="7">
      <w:start w:val="1"/>
      <w:numFmt w:val="lowerLetter"/>
      <w:lvlText w:val="%8."/>
      <w:lvlJc w:val="left"/>
      <w:pPr>
        <w:tabs>
          <w:tab w:val="num" w:pos="0"/>
        </w:tabs>
        <w:ind w:left="7900" w:hanging="360"/>
      </w:pPr>
    </w:lvl>
    <w:lvl w:ilvl="8">
      <w:start w:val="1"/>
      <w:numFmt w:val="lowerRoman"/>
      <w:lvlText w:val="%9."/>
      <w:lvlJc w:val="right"/>
      <w:pPr>
        <w:tabs>
          <w:tab w:val="num" w:pos="0"/>
        </w:tabs>
        <w:ind w:left="8620" w:hanging="180"/>
      </w:pPr>
    </w:lvl>
  </w:abstractNum>
  <w:abstractNum w:abstractNumId="9">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10">
    <w:lvl w:ilvl="0">
      <w:start w:val="1"/>
      <w:numFmt w:val="decimal"/>
      <w:lvlText w:val="%1."/>
      <w:lvlJc w:val="left"/>
      <w:pPr>
        <w:tabs>
          <w:tab w:val="num" w:pos="0"/>
        </w:tabs>
        <w:ind w:left="360" w:hanging="360"/>
      </w:pPr>
      <w:rPr>
        <w:sz w:val="24"/>
        <w:b/>
        <w:szCs w:val="24"/>
        <w:bCs/>
        <w:w w:val="100"/>
        <w:lang w:val="pt-PT" w:eastAsia="pt-PT" w:bidi="pt-PT"/>
      </w:rPr>
    </w:lvl>
    <w:lvl w:ilvl="1">
      <w:start w:val="1"/>
      <w:numFmt w:val="decimal"/>
      <w:lvlText w:val="%1.%2."/>
      <w:lvlJc w:val="left"/>
      <w:pPr>
        <w:tabs>
          <w:tab w:val="num" w:pos="0"/>
        </w:tabs>
        <w:ind w:left="792" w:hanging="432"/>
      </w:pPr>
      <w:rPr>
        <w:sz w:val="24"/>
        <w:spacing w:val="-11"/>
        <w:b w:val="false"/>
        <w:szCs w:val="24"/>
        <w:bCs w:val="false"/>
        <w:w w:val="100"/>
        <w:lang w:val="pt-BR" w:eastAsia="pt-PT" w:bidi="pt-PT"/>
      </w:rPr>
    </w:lvl>
    <w:lvl w:ilvl="2">
      <w:start w:val="1"/>
      <w:numFmt w:val="decimal"/>
      <w:lvlText w:val="%1.%2.%3."/>
      <w:lvlJc w:val="left"/>
      <w:pPr>
        <w:tabs>
          <w:tab w:val="num" w:pos="0"/>
        </w:tabs>
        <w:ind w:left="1224" w:hanging="504"/>
      </w:pPr>
      <w:rPr>
        <w:sz w:val="24"/>
        <w:spacing w:val="-1"/>
        <w:szCs w:val="24"/>
        <w:w w:val="100"/>
        <w:lang w:val="pt-PT" w:eastAsia="pt-PT" w:bidi="pt-PT"/>
      </w:rPr>
    </w:lvl>
    <w:lvl w:ilvl="3">
      <w:start w:val="1"/>
      <w:numFmt w:val="decimal"/>
      <w:lvlText w:val="%1.%2.%3.%4."/>
      <w:lvlJc w:val="left"/>
      <w:pPr>
        <w:tabs>
          <w:tab w:val="num" w:pos="0"/>
        </w:tabs>
        <w:ind w:left="1728" w:hanging="648"/>
      </w:pPr>
      <w:rPr>
        <w:lang w:val="pt-PT" w:eastAsia="pt-PT" w:bidi="pt-PT"/>
      </w:rPr>
    </w:lvl>
    <w:lvl w:ilvl="4">
      <w:start w:val="1"/>
      <w:numFmt w:val="decimal"/>
      <w:lvlText w:val="%1.%2.%3.%4.%5."/>
      <w:lvlJc w:val="left"/>
      <w:pPr>
        <w:tabs>
          <w:tab w:val="num" w:pos="0"/>
        </w:tabs>
        <w:ind w:left="2232" w:hanging="792"/>
      </w:pPr>
      <w:rPr>
        <w:lang w:val="pt-PT" w:eastAsia="pt-PT" w:bidi="pt-PT"/>
      </w:rPr>
    </w:lvl>
    <w:lvl w:ilvl="5">
      <w:start w:val="1"/>
      <w:numFmt w:val="decimal"/>
      <w:lvlText w:val="%1.%2.%3.%4.%5.%6."/>
      <w:lvlJc w:val="left"/>
      <w:pPr>
        <w:tabs>
          <w:tab w:val="num" w:pos="0"/>
        </w:tabs>
        <w:ind w:left="2736" w:hanging="936"/>
      </w:pPr>
      <w:rPr>
        <w:lang w:val="pt-PT" w:eastAsia="pt-PT" w:bidi="pt-PT"/>
      </w:rPr>
    </w:lvl>
    <w:lvl w:ilvl="6">
      <w:start w:val="1"/>
      <w:numFmt w:val="decimal"/>
      <w:lvlText w:val="%1.%2.%3.%4.%5.%6.%7."/>
      <w:lvlJc w:val="left"/>
      <w:pPr>
        <w:tabs>
          <w:tab w:val="num" w:pos="0"/>
        </w:tabs>
        <w:ind w:left="3240" w:hanging="1080"/>
      </w:pPr>
      <w:rPr>
        <w:lang w:val="pt-PT" w:eastAsia="pt-PT" w:bidi="pt-PT"/>
      </w:rPr>
    </w:lvl>
    <w:lvl w:ilvl="7">
      <w:start w:val="1"/>
      <w:numFmt w:val="decimal"/>
      <w:lvlText w:val="%1.%2.%3.%4.%5.%6.%7.%8."/>
      <w:lvlJc w:val="left"/>
      <w:pPr>
        <w:tabs>
          <w:tab w:val="num" w:pos="0"/>
        </w:tabs>
        <w:ind w:left="3744" w:hanging="1224"/>
      </w:pPr>
      <w:rPr>
        <w:lang w:val="pt-PT" w:eastAsia="pt-PT" w:bidi="pt-PT"/>
      </w:rPr>
    </w:lvl>
    <w:lvl w:ilvl="8">
      <w:start w:val="1"/>
      <w:numFmt w:val="decimal"/>
      <w:lvlText w:val="%1.%2.%3.%4.%5.%6.%7.%8.%9."/>
      <w:lvlJc w:val="left"/>
      <w:pPr>
        <w:tabs>
          <w:tab w:val="num" w:pos="0"/>
        </w:tabs>
        <w:ind w:left="4320" w:hanging="1440"/>
      </w:pPr>
      <w:rPr>
        <w:lang w:val="pt-PT" w:eastAsia="pt-PT" w:bidi="pt-PT"/>
      </w:rPr>
    </w:lvl>
  </w:abstractNum>
  <w:abstractNum w:abstractNumId="11">
    <w:lvl w:ilvl="0">
      <w:start w:val="7"/>
      <w:numFmt w:val="decimal"/>
      <w:lvlText w:val="%1"/>
      <w:lvlJc w:val="left"/>
      <w:pPr>
        <w:tabs>
          <w:tab w:val="num" w:pos="0"/>
        </w:tabs>
        <w:ind w:left="480" w:hanging="480"/>
      </w:pPr>
    </w:lvl>
    <w:lvl w:ilvl="1">
      <w:start w:val="2"/>
      <w:numFmt w:val="decimal"/>
      <w:lvlText w:val="%1.%2"/>
      <w:lvlJc w:val="left"/>
      <w:pPr>
        <w:tabs>
          <w:tab w:val="num" w:pos="0"/>
        </w:tabs>
        <w:ind w:left="1092" w:hanging="480"/>
      </w:pPr>
    </w:lvl>
    <w:lvl w:ilvl="2">
      <w:start w:val="1"/>
      <w:numFmt w:val="decimal"/>
      <w:lvlText w:val="%1.%2.%3"/>
      <w:lvlJc w:val="left"/>
      <w:pPr>
        <w:tabs>
          <w:tab w:val="num" w:pos="0"/>
        </w:tabs>
        <w:ind w:left="1944" w:hanging="720"/>
      </w:pPr>
    </w:lvl>
    <w:lvl w:ilvl="3">
      <w:start w:val="1"/>
      <w:numFmt w:val="decimal"/>
      <w:lvlText w:val="%1.%2.%3.%4"/>
      <w:lvlJc w:val="left"/>
      <w:pPr>
        <w:tabs>
          <w:tab w:val="num" w:pos="0"/>
        </w:tabs>
        <w:ind w:left="2556" w:hanging="720"/>
      </w:pPr>
    </w:lvl>
    <w:lvl w:ilvl="4">
      <w:start w:val="1"/>
      <w:numFmt w:val="decimal"/>
      <w:lvlText w:val="%1.%2.%3.%4.%5"/>
      <w:lvlJc w:val="left"/>
      <w:pPr>
        <w:tabs>
          <w:tab w:val="num" w:pos="0"/>
        </w:tabs>
        <w:ind w:left="3528" w:hanging="1080"/>
      </w:pPr>
    </w:lvl>
    <w:lvl w:ilvl="5">
      <w:start w:val="1"/>
      <w:numFmt w:val="decimal"/>
      <w:lvlText w:val="%1.%2.%3.%4.%5.%6"/>
      <w:lvlJc w:val="left"/>
      <w:pPr>
        <w:tabs>
          <w:tab w:val="num" w:pos="0"/>
        </w:tabs>
        <w:ind w:left="4140" w:hanging="1080"/>
      </w:pPr>
    </w:lvl>
    <w:lvl w:ilvl="6">
      <w:start w:val="1"/>
      <w:numFmt w:val="decimal"/>
      <w:lvlText w:val="%1.%2.%3.%4.%5.%6.%7"/>
      <w:lvlJc w:val="left"/>
      <w:pPr>
        <w:tabs>
          <w:tab w:val="num" w:pos="0"/>
        </w:tabs>
        <w:ind w:left="5112" w:hanging="1440"/>
      </w:pPr>
    </w:lvl>
    <w:lvl w:ilvl="7">
      <w:start w:val="1"/>
      <w:numFmt w:val="decimal"/>
      <w:lvlText w:val="%1.%2.%3.%4.%5.%6.%7.%8"/>
      <w:lvlJc w:val="left"/>
      <w:pPr>
        <w:tabs>
          <w:tab w:val="num" w:pos="0"/>
        </w:tabs>
        <w:ind w:left="5724" w:hanging="1440"/>
      </w:pPr>
    </w:lvl>
    <w:lvl w:ilvl="8">
      <w:start w:val="1"/>
      <w:numFmt w:val="decimal"/>
      <w:lvlText w:val="%1.%2.%3.%4.%5.%6.%7.%8.%9"/>
      <w:lvlJc w:val="left"/>
      <w:pPr>
        <w:tabs>
          <w:tab w:val="num" w:pos="0"/>
        </w:tabs>
        <w:ind w:left="6696" w:hanging="1800"/>
      </w:pPr>
    </w:lvl>
  </w:abstractNum>
  <w:abstractNum w:abstractNumId="12">
    <w:lvl w:ilvl="0">
      <w:start w:val="9"/>
      <w:numFmt w:val="decimal"/>
      <w:lvlText w:val="%1"/>
      <w:lvlJc w:val="left"/>
      <w:pPr>
        <w:tabs>
          <w:tab w:val="num" w:pos="0"/>
        </w:tabs>
        <w:ind w:left="360" w:hanging="360"/>
      </w:pPr>
      <w:rPr>
        <w:b w:val="false"/>
      </w:rPr>
    </w:lvl>
    <w:lvl w:ilvl="1">
      <w:start w:val="1"/>
      <w:numFmt w:val="decimal"/>
      <w:lvlText w:val="%1.%2"/>
      <w:lvlJc w:val="left"/>
      <w:pPr>
        <w:tabs>
          <w:tab w:val="num" w:pos="0"/>
        </w:tabs>
        <w:ind w:left="720" w:hanging="360"/>
      </w:pPr>
      <w:rPr>
        <w:b w:val="false"/>
      </w:rPr>
    </w:lvl>
    <w:lvl w:ilvl="2">
      <w:start w:val="1"/>
      <w:numFmt w:val="decimal"/>
      <w:lvlText w:val="%1.%2.%3"/>
      <w:lvlJc w:val="left"/>
      <w:pPr>
        <w:tabs>
          <w:tab w:val="num" w:pos="0"/>
        </w:tabs>
        <w:ind w:left="1440" w:hanging="720"/>
      </w:pPr>
      <w:rPr>
        <w:b w:val="false"/>
      </w:rPr>
    </w:lvl>
    <w:lvl w:ilvl="3">
      <w:start w:val="1"/>
      <w:numFmt w:val="decimal"/>
      <w:lvlText w:val="%1.%2.%3.%4"/>
      <w:lvlJc w:val="left"/>
      <w:pPr>
        <w:tabs>
          <w:tab w:val="num" w:pos="0"/>
        </w:tabs>
        <w:ind w:left="1800" w:hanging="720"/>
      </w:pPr>
      <w:rPr>
        <w:b w:val="false"/>
      </w:rPr>
    </w:lvl>
    <w:lvl w:ilvl="4">
      <w:start w:val="1"/>
      <w:numFmt w:val="decimal"/>
      <w:lvlText w:val="%1.%2.%3.%4.%5"/>
      <w:lvlJc w:val="left"/>
      <w:pPr>
        <w:tabs>
          <w:tab w:val="num" w:pos="0"/>
        </w:tabs>
        <w:ind w:left="2520" w:hanging="1080"/>
      </w:pPr>
      <w:rPr>
        <w:b w:val="false"/>
      </w:rPr>
    </w:lvl>
    <w:lvl w:ilvl="5">
      <w:start w:val="1"/>
      <w:numFmt w:val="decimal"/>
      <w:lvlText w:val="%1.%2.%3.%4.%5.%6"/>
      <w:lvlJc w:val="left"/>
      <w:pPr>
        <w:tabs>
          <w:tab w:val="num" w:pos="0"/>
        </w:tabs>
        <w:ind w:left="2880" w:hanging="1080"/>
      </w:pPr>
      <w:rPr>
        <w:b w:val="false"/>
      </w:rPr>
    </w:lvl>
    <w:lvl w:ilvl="6">
      <w:start w:val="1"/>
      <w:numFmt w:val="decimal"/>
      <w:lvlText w:val="%1.%2.%3.%4.%5.%6.%7"/>
      <w:lvlJc w:val="left"/>
      <w:pPr>
        <w:tabs>
          <w:tab w:val="num" w:pos="0"/>
        </w:tabs>
        <w:ind w:left="3600" w:hanging="1440"/>
      </w:pPr>
      <w:rPr>
        <w:b w:val="false"/>
      </w:rPr>
    </w:lvl>
    <w:lvl w:ilvl="7">
      <w:start w:val="1"/>
      <w:numFmt w:val="decimal"/>
      <w:lvlText w:val="%1.%2.%3.%4.%5.%6.%7.%8"/>
      <w:lvlJc w:val="left"/>
      <w:pPr>
        <w:tabs>
          <w:tab w:val="num" w:pos="0"/>
        </w:tabs>
        <w:ind w:left="3960" w:hanging="1440"/>
      </w:pPr>
      <w:rPr>
        <w:b w:val="false"/>
      </w:rPr>
    </w:lvl>
    <w:lvl w:ilvl="8">
      <w:start w:val="1"/>
      <w:numFmt w:val="decimal"/>
      <w:lvlText w:val="%1.%2.%3.%4.%5.%6.%7.%8.%9"/>
      <w:lvlJc w:val="left"/>
      <w:pPr>
        <w:tabs>
          <w:tab w:val="num" w:pos="0"/>
        </w:tabs>
        <w:ind w:left="4680" w:hanging="1800"/>
      </w:pPr>
      <w:rPr>
        <w:b w:val="false"/>
      </w:rPr>
    </w:lvl>
  </w:abstractNum>
  <w:abstractNum w:abstractNumId="13">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14">
    <w:lvl w:ilvl="0">
      <w:start w:val="1"/>
      <w:numFmt w:val="decimal"/>
      <w:lvlText w:val="%1."/>
      <w:lvlJc w:val="left"/>
      <w:pPr>
        <w:tabs>
          <w:tab w:val="num" w:pos="0"/>
        </w:tabs>
        <w:ind w:left="720" w:hanging="360"/>
      </w:pPr>
      <w:rPr>
        <w:sz w:val="24"/>
        <w:szCs w:val="24"/>
        <w:lang w:eastAsia="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8"/>
      <w:numFmt w:val="decimal"/>
      <w:lvlText w:val="%1"/>
      <w:lvlJc w:val="left"/>
      <w:pPr>
        <w:tabs>
          <w:tab w:val="num" w:pos="0"/>
        </w:tabs>
        <w:ind w:left="360" w:hanging="360"/>
      </w:pPr>
    </w:lvl>
    <w:lvl w:ilvl="1">
      <w:start w:val="3"/>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
    <w:lvlOverride w:ilvl="4">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1">
    <w:name w:val="Heading 1"/>
    <w:basedOn w:val="Normal"/>
    <w:link w:val="Ttulo1Char"/>
    <w:uiPriority w:val="1"/>
    <w:qFormat/>
    <w:rsid w:val="00e80bff"/>
    <w:pPr>
      <w:widowControl w:val="false"/>
      <w:spacing w:lineRule="auto" w:line="240" w:before="0" w:after="0"/>
      <w:ind w:left="446" w:hanging="167"/>
      <w:jc w:val="both"/>
      <w:outlineLvl w:val="0"/>
    </w:pPr>
    <w:rPr>
      <w:rFonts w:ascii="Arial" w:hAnsi="Arial" w:eastAsia="Arial" w:cs="Arial"/>
      <w:b/>
      <w:bCs/>
      <w:sz w:val="20"/>
      <w:szCs w:val="20"/>
      <w:lang w:val="pt-PT" w:eastAsia="pt-PT" w:bidi="pt-PT"/>
    </w:rPr>
  </w:style>
  <w:style w:type="paragraph" w:styleId="Ttulo5">
    <w:name w:val="Heading 5"/>
    <w:basedOn w:val="Normal"/>
    <w:link w:val="Ttulo5Char"/>
    <w:qFormat/>
    <w:rsid w:val="000479c0"/>
    <w:pPr>
      <w:keepNext w:val="true"/>
      <w:widowControl w:val="false"/>
      <w:suppressAutoHyphens w:val="tru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uiPriority w:val="99"/>
    <w:semiHidden/>
    <w:qFormat/>
    <w:rsid w:val="00f105bd"/>
    <w:rPr>
      <w:rFonts w:ascii="Segoe UI" w:hAnsi="Segoe UI" w:cs="Segoe UI"/>
      <w:sz w:val="18"/>
      <w:szCs w:val="18"/>
      <w:lang w:eastAsia="en-US"/>
    </w:rPr>
  </w:style>
  <w:style w:type="character" w:styleId="CabealhoChar" w:customStyle="1">
    <w:name w:val="Cabeçalho Char"/>
    <w:link w:val="Cabealho"/>
    <w:uiPriority w:val="99"/>
    <w:qFormat/>
    <w:rsid w:val="000479c0"/>
    <w:rPr>
      <w:sz w:val="22"/>
      <w:szCs w:val="22"/>
      <w:lang w:eastAsia="en-US"/>
    </w:rPr>
  </w:style>
  <w:style w:type="character" w:styleId="RodapChar" w:customStyle="1">
    <w:name w:val="Rodapé Char"/>
    <w:link w:val="Rodap"/>
    <w:uiPriority w:val="99"/>
    <w:qFormat/>
    <w:rsid w:val="000479c0"/>
    <w:rPr>
      <w:sz w:val="22"/>
      <w:szCs w:val="22"/>
      <w:lang w:eastAsia="en-US"/>
    </w:rPr>
  </w:style>
  <w:style w:type="character" w:styleId="Ttulo5Char" w:customStyle="1">
    <w:name w:val="Título 5 Char"/>
    <w:link w:val="Ttulo5"/>
    <w:qFormat/>
    <w:rsid w:val="000479c0"/>
    <w:rPr>
      <w:rFonts w:ascii="Times New Roman" w:hAnsi="Times New Roman" w:eastAsia="Times New Roman"/>
      <w:i/>
      <w:color w:val="00000A"/>
      <w:kern w:val="2"/>
      <w:sz w:val="16"/>
    </w:rPr>
  </w:style>
  <w:style w:type="character" w:styleId="Ttulo1Char" w:customStyle="1">
    <w:name w:val="Título 1 Char"/>
    <w:basedOn w:val="DefaultParagraphFont"/>
    <w:link w:val="Ttulo1"/>
    <w:uiPriority w:val="1"/>
    <w:qFormat/>
    <w:rsid w:val="00e80bff"/>
    <w:rPr>
      <w:rFonts w:ascii="Arial" w:hAnsi="Arial" w:eastAsia="Arial" w:cs="Arial"/>
      <w:b/>
      <w:bCs/>
      <w:lang w:val="pt-PT" w:eastAsia="pt-PT" w:bidi="pt-PT"/>
    </w:rPr>
  </w:style>
  <w:style w:type="character" w:styleId="CorpodetextoChar" w:customStyle="1">
    <w:name w:val="Corpo de texto Char"/>
    <w:basedOn w:val="DefaultParagraphFont"/>
    <w:link w:val="Corpodetexto"/>
    <w:uiPriority w:val="1"/>
    <w:qFormat/>
    <w:rsid w:val="00e80bff"/>
    <w:rPr>
      <w:rFonts w:ascii="Arial" w:hAnsi="Arial" w:eastAsia="Arial" w:cs="Arial"/>
      <w:lang w:val="pt-PT" w:eastAsia="pt-PT" w:bidi="pt-PT"/>
    </w:rPr>
  </w:style>
  <w:style w:type="character" w:styleId="LinkdaInternet">
    <w:name w:val="Link da Internet"/>
    <w:basedOn w:val="DefaultParagraphFont"/>
    <w:uiPriority w:val="99"/>
    <w:unhideWhenUsed/>
    <w:rsid w:val="009e41fb"/>
    <w:rPr>
      <w:color w:val="0563C1" w:themeColor="hyperlink"/>
      <w:u w:val="single"/>
    </w:rPr>
  </w:style>
  <w:style w:type="character" w:styleId="MenoPendente1" w:customStyle="1">
    <w:name w:val="Menção Pendente1"/>
    <w:basedOn w:val="DefaultParagraphFont"/>
    <w:uiPriority w:val="99"/>
    <w:semiHidden/>
    <w:unhideWhenUsed/>
    <w:qFormat/>
    <w:rsid w:val="00ff7863"/>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1"/>
    <w:qFormat/>
    <w:rsid w:val="00e80bff"/>
    <w:pPr>
      <w:widowControl w:val="false"/>
      <w:spacing w:lineRule="auto" w:line="240" w:before="0" w:after="0"/>
    </w:pPr>
    <w:rPr>
      <w:rFonts w:ascii="Arial" w:hAnsi="Arial" w:eastAsia="Arial" w:cs="Arial"/>
      <w:sz w:val="20"/>
      <w:szCs w:val="20"/>
      <w:lang w:val="pt-PT" w:eastAsia="pt-PT" w:bidi="pt-PT"/>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1"/>
    <w:qFormat/>
    <w:rsid w:val="00880e6c"/>
    <w:pPr>
      <w:spacing w:before="0" w:after="160"/>
      <w:ind w:left="720" w:hanging="0"/>
      <w:contextualSpacing/>
    </w:pPr>
    <w:rPr/>
  </w:style>
  <w:style w:type="paragraph" w:styleId="BalloonText">
    <w:name w:val="Balloon Text"/>
    <w:basedOn w:val="Normal"/>
    <w:link w:val="TextodebaloChar"/>
    <w:uiPriority w:val="99"/>
    <w:semiHidden/>
    <w:unhideWhenUsed/>
    <w:qFormat/>
    <w:rsid w:val="00f105bd"/>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479c0"/>
    <w:pPr>
      <w:tabs>
        <w:tab w:val="clear" w:pos="708"/>
        <w:tab w:val="center" w:pos="4252" w:leader="none"/>
        <w:tab w:val="right" w:pos="8504" w:leader="none"/>
      </w:tabs>
    </w:pPr>
    <w:rPr/>
  </w:style>
  <w:style w:type="paragraph" w:styleId="Rodap">
    <w:name w:val="Footer"/>
    <w:basedOn w:val="Normal"/>
    <w:link w:val="RodapChar"/>
    <w:unhideWhenUsed/>
    <w:rsid w:val="000479c0"/>
    <w:pPr>
      <w:tabs>
        <w:tab w:val="clear" w:pos="708"/>
        <w:tab w:val="center" w:pos="4252" w:leader="none"/>
        <w:tab w:val="right" w:pos="8504" w:leader="none"/>
      </w:tabs>
    </w:pPr>
    <w:rPr/>
  </w:style>
  <w:style w:type="paragraph" w:styleId="NoSpacing">
    <w:name w:val="No Spacing"/>
    <w:uiPriority w:val="1"/>
    <w:qFormat/>
    <w:rsid w:val="00347129"/>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TableParagraph" w:customStyle="1">
    <w:name w:val="Table Paragraph"/>
    <w:basedOn w:val="Normal"/>
    <w:uiPriority w:val="1"/>
    <w:qFormat/>
    <w:rsid w:val="00154663"/>
    <w:pPr>
      <w:widowControl w:val="false"/>
      <w:spacing w:lineRule="auto" w:line="240" w:before="0" w:after="0"/>
    </w:pPr>
    <w:rPr>
      <w:rFonts w:ascii="Times New Roman" w:hAnsi="Times New Roman" w:eastAsia="Times New Roman"/>
      <w:lang w:val="pt-PT"/>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6257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154663"/>
    <w:rPr>
      <w:rFonts w:asciiTheme="minorHAnsi" w:hAnsiTheme="minorHAnsi" w:eastAsiaTheme="minorHAnsi" w:cstheme="minorBidi"/>
      <w:lang w:val="en-US" w:eastAsia="en-US"/>
      <w:sz w:val="22"/>
      <w:szCs w:val="22"/>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efensoria.ma.def.br/seletivo" TargetMode="External"/><Relationship Id="rId3" Type="http://schemas.openxmlformats.org/officeDocument/2006/relationships/hyperlink" Target="C:\\Users\\lfernandes\\Downloads\\defensoria.ma.def.br\\seletivo" TargetMode="External"/><Relationship Id="rId4" Type="http://schemas.openxmlformats.org/officeDocument/2006/relationships/hyperlink" Target="../../../../../C:/Users/lfernandes/Downloads/defensoria.ma.def.br/seletivo" TargetMode="External"/><Relationship Id="rId5" Type="http://schemas.openxmlformats.org/officeDocument/2006/relationships/hyperlink" Target="mailto:seletivos2021@ma.def.br" TargetMode="External"/><Relationship Id="rId6" Type="http://schemas.openxmlformats.org/officeDocument/2006/relationships/hyperlink" Target="http://defensoria.ma.def.br/seletivo" TargetMode="External"/><Relationship Id="rId7" Type="http://schemas.openxmlformats.org/officeDocument/2006/relationships/hyperlink" Target="http://lattes.cnpq.br/" TargetMode="External"/><Relationship Id="rId8" Type="http://schemas.openxmlformats.org/officeDocument/2006/relationships/hyperlink" Target="https://defensoria.ma.def.br/seletivo/" TargetMode="External"/><Relationship Id="rId9" Type="http://schemas.openxmlformats.org/officeDocument/2006/relationships/hyperlink" Target="mailto:seletivos2021@ma.def.br"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1092C-91E7-4609-A00B-EC00BA60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Application>LibreOffice/6.4.6.2$Windows_X86_64 LibreOffice_project/0ce51a4fd21bff07a5c061082cc82c5ed232f115</Application>
  <Pages>21</Pages>
  <Words>4491</Words>
  <Characters>26404</Characters>
  <CharactersWithSpaces>30529</CharactersWithSpaces>
  <Paragraphs>350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2021-01-28T16:09:00Z</dcterms:created>
  <dc:creator>Lorena Fernandes</dc:creator>
  <dc:description/>
  <dc:language>pt-BR</dc:language>
  <cp:lastModifiedBy>Lorena Fernandes</cp:lastModifiedBy>
  <cp:lastPrinted>2021-01-28T13:50:00Z</cp:lastPrinted>
  <dcterms:modified xsi:type="dcterms:W3CDTF">2021-01-29T13:59:00Z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