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001/2020</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lineRule="auto" w:line="276" w:before="94" w:after="24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I PROCESSO SELETIVO PARA ESTÁGIO DE PÓS-GRADUAÇÃO EM DIREITO PARA ATUAÇÃO FORENSE CRIMINAL</w:t>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DEFENSOR PÚBLICO-GERAL DO ESTADO</w:t>
      </w:r>
      <w:r>
        <w:rPr>
          <w:rFonts w:ascii="Times New Roman" w:hAnsi="Times New Roman"/>
          <w:color w:val="000000" w:themeColor="text1"/>
          <w:sz w:val="24"/>
          <w:szCs w:val="24"/>
        </w:rPr>
        <w:t xml:space="preserve">, no uso das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24/10/2020 a 28/10/2020</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lang w:bidi="pt-PT"/>
        </w:rPr>
        <w:t>I PROCESSO SELETIVO PARA ESTÁGIO DE PÓS-GRADUAÇÃO EM DIREITO PARA ATUAÇÃO FORENSE CRIMINAL</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nos núcleos da capital, das quais 10% das vagas se destinam a pessoas com deficiência, nos termos do inciso VIII do art. 37 da CF,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9"/>
        </w:numPr>
        <w:tabs>
          <w:tab w:val="clear" w:pos="708"/>
          <w:tab w:val="left" w:pos="689" w:leader="none"/>
        </w:tabs>
        <w:spacing w:lineRule="auto" w:line="247" w:before="0" w:after="0"/>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color w:val="000000" w:themeColor="text1"/>
          <w:sz w:val="24"/>
          <w:szCs w:val="24"/>
          <w:lang w:val="pt-PT" w:eastAsia="pt-PT" w:bidi="pt-PT"/>
        </w:rPr>
        <w:t>Portaria 1238</w:t>
      </w:r>
      <w:r>
        <w:rPr>
          <w:rFonts w:eastAsia="Arial" w:ascii="Times New Roman" w:hAnsi="Times New Roman"/>
          <w:b/>
          <w:bCs/>
          <w:color w:val="000000" w:themeColor="text1"/>
          <w:sz w:val="24"/>
          <w:szCs w:val="24"/>
          <w:shd w:fill="FFFFFF" w:val="clear"/>
          <w:lang w:val="pt-PT" w:eastAsia="pt-PT" w:bidi="pt-PT"/>
        </w:rPr>
        <w:t>/2020</w:t>
      </w:r>
      <w:r>
        <w:rPr>
          <w:rFonts w:eastAsia="Arial" w:ascii="Times New Roman" w:hAnsi="Times New Roman"/>
          <w:color w:val="000000" w:themeColor="text1"/>
          <w:sz w:val="24"/>
          <w:szCs w:val="24"/>
          <w:shd w:fill="FFFFFF" w:val="clear"/>
          <w:lang w:val="pt-PT" w:eastAsia="pt-PT" w:bidi="pt-PT"/>
        </w:rPr>
        <w:t>,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9"/>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024 – CSDPEMA, de 14 de dezembro de 2018, não havendo vínculo empregatício entre os mesmos.</w:t>
      </w:r>
      <w:r>
        <w:rPr>
          <w:rFonts w:ascii="Times New Roman" w:hAnsi="Times New Roman"/>
          <w:color w:val="000000" w:themeColor="text1"/>
          <w:sz w:val="24"/>
          <w:szCs w:val="24"/>
        </w:rPr>
        <w:t xml:space="preserve"> </w:t>
      </w:r>
    </w:p>
    <w:p>
      <w:pPr>
        <w:pStyle w:val="Corpodotexto"/>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color w:val="000000" w:themeColor="text1"/>
          <w:sz w:val="24"/>
          <w:szCs w:val="24"/>
          <w:lang w:val="pt-BR" w:eastAsia="en-US" w:bidi="ar-SA"/>
        </w:rPr>
        <w:t>PROVA DISSERTATIVA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I</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ascii="Times New Roman" w:hAnsi="Times New Roman"/>
          <w:color w:val="000000" w:themeColor="text1"/>
          <w:sz w:val="24"/>
          <w:szCs w:val="24"/>
        </w:rPr>
        <w:t xml:space="preserve">O Conteúdo Programático está disposto no </w:t>
      </w:r>
      <w:r>
        <w:rPr>
          <w:rFonts w:ascii="Times New Roman" w:hAnsi="Times New Roman"/>
          <w:b/>
          <w:color w:val="000000" w:themeColor="text1"/>
          <w:sz w:val="24"/>
          <w:szCs w:val="24"/>
        </w:rPr>
        <w:t>ANEXO II</w:t>
      </w:r>
      <w:r>
        <w:rPr>
          <w:rFonts w:ascii="Times New Roman" w:hAnsi="Times New Roman"/>
          <w:color w:val="000000" w:themeColor="text1"/>
          <w:sz w:val="24"/>
          <w:szCs w:val="24"/>
        </w:rPr>
        <w:t xml:space="preserve"> deste edital. </w:t>
      </w:r>
    </w:p>
    <w:p>
      <w:pPr>
        <w:pStyle w:val="ListParagraph"/>
        <w:numPr>
          <w:ilvl w:val="0"/>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20º</w:t>
      </w:r>
      <w:r>
        <w:rPr>
          <w:rFonts w:ascii="Times New Roman" w:hAnsi="Times New Roman"/>
          <w:b/>
          <w:bCs/>
          <w:color w:val="000000" w:themeColor="text1"/>
          <w:sz w:val="24"/>
          <w:szCs w:val="24"/>
        </w:rPr>
        <w:t xml:space="preserve"> (vigésimo) colocado</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9"/>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9"/>
        </w:numPr>
        <w:tabs>
          <w:tab w:val="clear" w:pos="708"/>
          <w:tab w:val="left" w:pos="644" w:leader="none"/>
        </w:tabs>
        <w:spacing w:lineRule="auto" w:line="247" w:before="0" w:after="16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na forma do art. 6ª, § 1º da </w:t>
      </w:r>
      <w:r>
        <w:rPr>
          <w:rFonts w:ascii="Times New Roman" w:hAnsi="Times New Roman"/>
          <w:b/>
          <w:color w:val="000000" w:themeColor="text1"/>
          <w:sz w:val="24"/>
          <w:szCs w:val="24"/>
        </w:rPr>
        <w:t>Resolução nº 024/2018 – CSDPEMA</w:t>
      </w:r>
      <w:r>
        <w:rPr>
          <w:rFonts w:ascii="Times New Roman" w:hAnsi="Times New Roman"/>
          <w:color w:val="000000" w:themeColor="text1"/>
          <w:sz w:val="24"/>
          <w:szCs w:val="24"/>
        </w:rPr>
        <w:t xml:space="preserve"> com carga horária diária de 04 (quatro) horas e 20 (vinte) horas semanais, de segunda a sexta-feira.  </w:t>
      </w:r>
    </w:p>
    <w:p>
      <w:pPr>
        <w:pStyle w:val="ListParagraph"/>
        <w:widowControl w:val="false"/>
        <w:numPr>
          <w:ilvl w:val="1"/>
          <w:numId w:val="9"/>
        </w:numPr>
        <w:tabs>
          <w:tab w:val="clear" w:pos="708"/>
          <w:tab w:val="left" w:pos="659" w:leader="none"/>
        </w:tabs>
        <w:spacing w:lineRule="auto" w:line="247" w:before="0" w:after="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 conforme Resolução nº 024 – CSDPEMA, Art. 8º §2º.</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9"/>
        </w:numPr>
        <w:tabs>
          <w:tab w:val="clear" w:pos="708"/>
          <w:tab w:val="left" w:pos="629" w:leader="none"/>
        </w:tabs>
        <w:spacing w:lineRule="auto" w:line="247" w:before="0" w:after="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9"/>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As inscrições deverão ser efetuadas única e exclusivamente pela internet, através do endereço eletrônico </w:t>
      </w:r>
      <w:r>
        <w:rPr>
          <w:rFonts w:cs="Times New Roman" w:ascii="Times New Roman" w:hAnsi="Times New Roman"/>
          <w:color w:val="000000" w:themeColor="text1"/>
          <w:sz w:val="24"/>
          <w:szCs w:val="24"/>
          <w:u w:val="single"/>
        </w:rPr>
        <w:t>defensoria.ma.def.br/seletivo</w:t>
      </w:r>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24/10/2020, a partir das 08:00 horas, até às 23:59 do dia 28/10/2020.</w:t>
      </w:r>
    </w:p>
    <w:p>
      <w:pPr>
        <w:pStyle w:val="ListParagraph"/>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3">
        <w:r>
          <w:rPr>
            <w:rFonts w:eastAsia="Arial" w:ascii="Times New Roman" w:hAnsi="Times New Roman"/>
            <w:b/>
            <w:color w:val="000000" w:themeColor="text1"/>
            <w:sz w:val="24"/>
            <w:szCs w:val="24"/>
            <w:u w:val="single"/>
            <w:lang w:val="pt-PT" w:eastAsia="pt-PT" w:bidi="pt-PT"/>
          </w:rPr>
          <w:t>seletivos2020@ma.def.br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4">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5">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76" w:before="240" w:after="16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desclassifica o candidato, mesmo que tenha feito sua inscrição no endereço eletrônico descrito no subitem 5.2.</w:t>
      </w:r>
    </w:p>
    <w:p>
      <w:pPr>
        <w:pStyle w:val="ListParagraph"/>
        <w:spacing w:lineRule="auto" w:line="276" w:before="240" w:after="160"/>
        <w:ind w:left="79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0"/>
          <w:numId w:val="9"/>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9"/>
        </w:numPr>
        <w:spacing w:lineRule="auto" w:line="276" w:before="120" w:after="120"/>
        <w:ind w:left="284" w:hanging="1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PROVA DISSERTATIVA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uma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que pontuará os aspectos dispostos no item 8 deste Edital.</w:t>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não comparecimento do candidato para a prova dissertativa mencionada no item 8 deste edital acarretará na sua eliminação automática desta seleção</w:t>
      </w:r>
    </w:p>
    <w:p>
      <w:pPr>
        <w:pStyle w:val="ListParagraph"/>
        <w:numPr>
          <w:ilvl w:val="0"/>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prova dissertativa, realizada pela comissão do processo seletivo designada pela </w:t>
      </w:r>
      <w:r>
        <w:rPr>
          <w:rFonts w:cs="Times New Roman" w:ascii="Times New Roman" w:hAnsi="Times New Roman"/>
          <w:b/>
          <w:bCs/>
          <w:color w:val="000000" w:themeColor="text1"/>
          <w:sz w:val="24"/>
          <w:szCs w:val="24"/>
          <w:lang w:val="pt-BR"/>
        </w:rPr>
        <w:t>Portaria nº 1238/2020</w:t>
      </w:r>
      <w:r>
        <w:rPr>
          <w:rFonts w:cs="Times New Roman" w:ascii="Times New Roman" w:hAnsi="Times New Roman"/>
          <w:color w:val="000000" w:themeColor="text1"/>
          <w:sz w:val="24"/>
          <w:szCs w:val="24"/>
          <w:lang w:val="pt-BR"/>
        </w:rPr>
        <w:t>.</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360" w:before="0" w:after="0"/>
        <w:jc w:val="both"/>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bl>
      <w:tblPr>
        <w:tblW w:w="9133" w:type="dxa"/>
        <w:jc w:val="left"/>
        <w:tblInd w:w="0"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Jurídica em área criminal;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04 (quatro) pontos para cada ano trabalhado, com limite máximo de 20 (vinte) pontos. </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 nas demais áreas;</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03 (três) pontos para cada ano trabalhado, com limite máximo de 15 (quinze)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16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 xml:space="preserve">Experiência de Estágio Jurídico Extracurricular em área criminal;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02 (dois) pontos para cada semestre trabalhado, com limite máximo de 08 (oito)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16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Extracurricular em outras áreas;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01 (um) ponto para cada semestre trabalhado, com limite máximo de 04 (quatro) pontos; </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Pós-Graduação “Lato Sensu”, em nível de Especialização na área de </w:t>
            </w:r>
            <w:r>
              <w:rPr>
                <w:rFonts w:eastAsia="Times New Roman" w:ascii="Times New Roman" w:hAnsi="Times New Roman"/>
                <w:b/>
                <w:color w:val="000000" w:themeColor="text1"/>
                <w:sz w:val="24"/>
                <w:szCs w:val="24"/>
                <w:lang w:eastAsia="pt-BR"/>
              </w:rPr>
              <w:t>Direito Criminal</w:t>
            </w:r>
            <w:r>
              <w:rPr>
                <w:rFonts w:eastAsia="Times New Roman" w:ascii="Times New Roman" w:hAnsi="Times New Roman"/>
                <w:color w:val="000000" w:themeColor="text1"/>
                <w:sz w:val="24"/>
                <w:szCs w:val="24"/>
                <w:lang w:eastAsia="pt-BR"/>
              </w:rPr>
              <w:t>;</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pontos com limite máximo de 02 (dois)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em nível de Especialização nas demais áreas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com limite máximo de 01 (um) ponto;</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03 (três) pontos, com limite máximo de 03 (três)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ou grupos de pesquisa,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0,5 (cinco décimos) ponto por grupo de estudo/pesquisa, com limite máximo de 2,5 (dois inteiros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 cinco décimos) pontos;</w:t>
            </w:r>
          </w:p>
        </w:tc>
      </w:tr>
      <w:tr>
        <w:trPr/>
        <w:tc>
          <w:tcPr>
            <w:tcW w:w="6218" w:type="dxa"/>
            <w:tcBorders>
              <w:top w:val="single" w:sz="4" w:space="0" w:color="000000"/>
              <w:left w:val="single" w:sz="4" w:space="0" w:color="000000"/>
              <w:bottom w:val="single" w:sz="4" w:space="0" w:color="000000"/>
            </w:tcBorders>
          </w:tcPr>
          <w:p>
            <w:pPr>
              <w:pStyle w:val="Normal"/>
              <w:tabs>
                <w:tab w:val="clear" w:pos="708"/>
                <w:tab w:val="left" w:pos="1672" w:leader="none"/>
              </w:tabs>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Exercício da função de monitoria na área de Direito, de disciplina vinculada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por grupo de estudo/pesquisa, com limite máximo de 2,5 (dois inteiros e cinco décimos)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Publicação de artigo jurídico;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por grupo de estudo/pesquisa, com limite máximo de 02 (dois) pontos;</w:t>
            </w:r>
          </w:p>
        </w:tc>
      </w:tr>
    </w:tbl>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JURÍDICA NA ÁREA CRIMINAL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 nas demais áreas</w:t>
      </w:r>
      <w:r>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NA ÁREA CRIMINAL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7.2.3.1.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 nas demais áreas</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Cs/>
          <w:color w:val="000000" w:themeColor="text1"/>
          <w:sz w:val="24"/>
          <w:szCs w:val="24"/>
        </w:rPr>
        <w:t xml:space="preserve">apresentar </w:t>
      </w:r>
      <w:r>
        <w:rPr>
          <w:rFonts w:ascii="Times New Roman" w:hAnsi="Times New Roman"/>
          <w:b/>
          <w:bCs/>
          <w:color w:val="000000" w:themeColor="text1"/>
          <w:sz w:val="24"/>
          <w:szCs w:val="24"/>
        </w:rPr>
        <w:t>Certificado ou Declaração de Conclusão do Curso, com reconhecimento pelo MEC.</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o candidato deverá apresentar cópia da capa e sumário de publicação e comprovação do Qualis da publicação;</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PROVA DISSERTATIVA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os 30 (trinta) candidatos com as melhores notas da fase de análise curricular: </w:t>
      </w:r>
    </w:p>
    <w:p>
      <w:pPr>
        <w:pStyle w:val="NoSpacing"/>
        <w:spacing w:lineRule="auto" w:line="276" w:before="0" w:after="240"/>
        <w:ind w:left="792"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27 (vinte e sete) convocados</w:t>
            </w:r>
          </w:p>
        </w:tc>
      </w:tr>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03 (três) convocados</w:t>
            </w:r>
          </w:p>
        </w:tc>
      </w:tr>
    </w:tbl>
    <w:p>
      <w:pPr>
        <w:pStyle w:val="ListParagraph"/>
        <w:ind w:left="792" w:hanging="0"/>
        <w:rPr>
          <w:rFonts w:ascii="Times New Roman" w:hAnsi="Times New Roman" w:eastAsia="Calibri" w:eastAsiaTheme="minorHAnsi"/>
          <w:color w:val="000000" w:themeColor="text1"/>
          <w:sz w:val="24"/>
          <w:szCs w:val="24"/>
        </w:rPr>
      </w:pPr>
      <w:r>
        <w:rPr>
          <w:rFonts w:eastAsia="Calibri" w:eastAsiaTheme="minorHAnsi" w:ascii="Times New Roman" w:hAnsi="Times New Roman"/>
          <w:color w:val="000000" w:themeColor="text1"/>
          <w:sz w:val="24"/>
          <w:szCs w:val="24"/>
        </w:rPr>
      </w:r>
    </w:p>
    <w:p>
      <w:pPr>
        <w:pStyle w:val="ListParagraph"/>
        <w:numPr>
          <w:ilvl w:val="1"/>
          <w:numId w:val="9"/>
        </w:numPr>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 xml:space="preserve">A Prova Dissertativa obedecerá ao cronograma com dia, horário e local a ser divulgado no site da </w:t>
      </w:r>
      <w:hyperlink r:id="rId6">
        <w:r>
          <w:rPr>
            <w:rStyle w:val="LinkdaInternet"/>
            <w:rFonts w:eastAsia="Calibri" w:ascii="Times New Roman" w:hAnsi="Times New Roman" w:eastAsiaTheme="minorHAnsi"/>
            <w:sz w:val="24"/>
            <w:szCs w:val="24"/>
          </w:rPr>
          <w:t>DEFENSORIA PÚBLICA</w:t>
        </w:r>
      </w:hyperlink>
      <w:r>
        <w:rPr>
          <w:rFonts w:eastAsia="Calibri" w:ascii="Times New Roman" w:hAnsi="Times New Roman" w:eastAsiaTheme="minorHAnsi"/>
          <w:color w:val="000000" w:themeColor="text1"/>
          <w:sz w:val="24"/>
          <w:szCs w:val="24"/>
        </w:rPr>
        <w:t>;</w:t>
      </w:r>
    </w:p>
    <w:p>
      <w:pPr>
        <w:pStyle w:val="ListParagraph"/>
        <w:ind w:left="792" w:hanging="0"/>
        <w:jc w:val="both"/>
        <w:rPr>
          <w:rFonts w:ascii="Times New Roman" w:hAnsi="Times New Roman" w:eastAsia="Calibri" w:eastAsiaTheme="minorHAnsi"/>
          <w:color w:val="000000" w:themeColor="text1"/>
          <w:sz w:val="24"/>
          <w:szCs w:val="24"/>
        </w:rPr>
      </w:pPr>
      <w:r>
        <w:rPr>
          <w:rFonts w:eastAsia="Calibri" w:eastAsiaTheme="minorHAnsi" w:ascii="Times New Roman" w:hAnsi="Times New Roman"/>
          <w:color w:val="000000" w:themeColor="text1"/>
          <w:sz w:val="24"/>
          <w:szCs w:val="24"/>
        </w:rPr>
      </w:r>
    </w:p>
    <w:p>
      <w:pPr>
        <w:pStyle w:val="ListParagraph"/>
        <w:numPr>
          <w:ilvl w:val="1"/>
          <w:numId w:val="9"/>
        </w:numPr>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Os candidatos deverão comparecer na data e no local designado, com trinta minutos de antecedência, munidos do comprovante de inscrição com foto, documento de identidade original;</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consistirá na apresentação de um caso concreto, devendo cada candidato produzir a peça processual adequada;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PROVA DISSERTIVA</w:t>
      </w:r>
      <w:r>
        <w:rPr>
          <w:rFonts w:cs="Times New Roman" w:ascii="Times New Roman" w:hAnsi="Times New Roman"/>
          <w:color w:val="000000" w:themeColor="text1"/>
          <w:sz w:val="24"/>
          <w:szCs w:val="24"/>
          <w:lang w:val="pt-BR"/>
        </w:rPr>
        <w:t xml:space="preserve"> deverá ser manuscrita, em letra legível, com caneta esferográfica de tinta azul ou preta,</w:t>
      </w:r>
      <w:r>
        <w:rPr>
          <w:lang w:val="pt-BR"/>
        </w:rPr>
        <w:t xml:space="preserve"> </w:t>
      </w:r>
      <w:r>
        <w:rPr>
          <w:rFonts w:cs="Times New Roman" w:ascii="Times New Roman" w:hAnsi="Times New Roman"/>
          <w:color w:val="000000" w:themeColor="text1"/>
          <w:sz w:val="24"/>
          <w:szCs w:val="24"/>
          <w:lang w:val="pt-BR"/>
        </w:rPr>
        <w:t>não sendo permitida a participação de outras pessoas, salvo em caso de examinando com deficiência que solicitou atendimento especial.</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Para ser aprovado, o candidato deverá atingir, na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a nota mínima de 20 (vinte) pontos.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prova terá duração de 120 (cento e vinte) minutos, </w:t>
      </w:r>
      <w:r>
        <w:rPr>
          <w:rFonts w:eastAsia="Times New Roman" w:ascii="Times New Roman" w:hAnsi="Times New Roman"/>
          <w:color w:val="000000" w:themeColor="text1"/>
          <w:sz w:val="24"/>
          <w:szCs w:val="24"/>
          <w:highlight w:val="white"/>
          <w:lang w:val="pt-BR" w:eastAsia="zh-CN"/>
        </w:rPr>
        <w:t>com exceção dos candidatos com deficiência que tiverem deferidos seus pedidos de tempo adicional</w:t>
      </w:r>
      <w:r>
        <w:rPr>
          <w:rFonts w:eastAsia="Times New Roman" w:ascii="Times New Roman" w:hAnsi="Times New Roman"/>
          <w:color w:val="000000" w:themeColor="text1"/>
          <w:sz w:val="24"/>
          <w:szCs w:val="24"/>
          <w:lang w:val="pt-BR" w:eastAsia="zh-CN"/>
        </w:rPr>
        <w:t>.</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Encerrado o horário, as provas serão recolhidas pelos fiscais de sala;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Ao receber a prova, deverá o candidato preencher, no campo adequado, apenas o seu número de inscrição, evitando rasuras.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Durante a realização das provas, será permitida, exclusivamente, a consulta a </w:t>
      </w:r>
      <w:r>
        <w:rPr>
          <w:rFonts w:cs="Times New Roman" w:ascii="Times New Roman" w:hAnsi="Times New Roman"/>
          <w:b/>
          <w:color w:val="000000" w:themeColor="text1"/>
          <w:sz w:val="24"/>
          <w:szCs w:val="24"/>
          <w:lang w:val="pt-BR"/>
        </w:rPr>
        <w:t>VADE MECUM</w:t>
      </w:r>
      <w:r>
        <w:rPr>
          <w:rFonts w:cs="Times New Roman" w:ascii="Times New Roman" w:hAnsi="Times New Roman"/>
          <w:color w:val="000000" w:themeColor="text1"/>
          <w:sz w:val="24"/>
          <w:szCs w:val="24"/>
          <w:lang w:val="pt-BR"/>
        </w:rPr>
        <w:t xml:space="preserve">, desde que </w:t>
      </w:r>
      <w:r>
        <w:rPr>
          <w:rFonts w:cs="Times New Roman" w:ascii="Times New Roman" w:hAnsi="Times New Roman"/>
          <w:sz w:val="24"/>
          <w:szCs w:val="24"/>
          <w:lang w:val="pt-BR"/>
        </w:rPr>
        <w:t>não comentado, não anotado, não comparado e que não possua índices estruturando roteiros de peças processuais.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caso concreto poderá versar sobre qualquer um dos conteúdos previstos no </w:t>
      </w:r>
      <w:r>
        <w:rPr>
          <w:rFonts w:cs="Times New Roman" w:ascii="Times New Roman" w:hAnsi="Times New Roman"/>
          <w:b/>
          <w:color w:val="000000" w:themeColor="text1"/>
          <w:sz w:val="24"/>
          <w:szCs w:val="24"/>
          <w:lang w:val="pt-BR"/>
        </w:rPr>
        <w:t>ANEXO II</w:t>
      </w:r>
      <w:r>
        <w:rPr>
          <w:rFonts w:cs="Times New Roman" w:ascii="Times New Roman" w:hAnsi="Times New Roman"/>
          <w:color w:val="000000" w:themeColor="text1"/>
          <w:sz w:val="24"/>
          <w:szCs w:val="24"/>
          <w:lang w:val="pt-BR"/>
        </w:rPr>
        <w:t xml:space="preserve"> do edital; </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não comparecimento do candidato à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implicará em sua eliminação automática;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correção da peça processual, serão analisados o nível de conhecimento da matéria, a técnica de redação, exposição e a correção no uso do vernáculo, observadas a adequação do conteúdo à questão proposta, a pertinência e a relevância dos aspectos abordados.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nota final do seletivo é composta pela soma da nota da avaliação curricular e da nota da prova dissertativa;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candidatos com as 20 (vinte) maiores notas finais. </w:t>
      </w:r>
    </w:p>
    <w:p>
      <w:pPr>
        <w:pStyle w:val="NoSpacing"/>
        <w:numPr>
          <w:ilvl w:val="0"/>
          <w:numId w:val="9"/>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1"/>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Criminal;</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 na área Criminal.</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Prova Dissertativa,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Prova Dissertativa;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Criminal;</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 xml:space="preserve">Experiência de estágio extracurricular na área Criminal. </w:t>
      </w:r>
    </w:p>
    <w:p>
      <w:pPr>
        <w:pStyle w:val="Normal"/>
        <w:spacing w:lineRule="auto" w:line="276"/>
        <w:jc w:val="both"/>
        <w:rPr>
          <w:rFonts w:ascii="Times New Roman" w:hAnsi="Times New Roman" w:eastAsia="Calibri" w:eastAsiaTheme="minorHAnsi"/>
          <w:color w:val="000000" w:themeColor="text1"/>
          <w:w w:val="102"/>
          <w:sz w:val="24"/>
          <w:szCs w:val="24"/>
        </w:rPr>
      </w:pPr>
      <w:r>
        <w:rPr>
          <w:rFonts w:eastAsia="Calibri" w:eastAsiaTheme="minorHAnsi" w:ascii="Times New Roman" w:hAnsi="Times New Roman"/>
          <w:color w:val="000000" w:themeColor="text1"/>
          <w:w w:val="102"/>
          <w:sz w:val="24"/>
          <w:szCs w:val="24"/>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02 (dois) dias úteis</w:t>
      </w:r>
      <w:r>
        <w:rPr>
          <w:rFonts w:ascii="Times New Roman" w:hAnsi="Times New Roman"/>
          <w:color w:val="000000" w:themeColor="text1"/>
          <w:sz w:val="24"/>
          <w:szCs w:val="24"/>
        </w:rPr>
        <w:t>, contados do primeiro dia subsequente à publicação dos resultados referentes a:</w:t>
      </w:r>
    </w:p>
    <w:p>
      <w:pPr>
        <w:pStyle w:val="ListParagraph"/>
        <w:numPr>
          <w:ilvl w:val="2"/>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Publicação do Edital; </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numPr>
          <w:ilvl w:val="2"/>
          <w:numId w:val="8"/>
        </w:numPr>
        <w:tabs>
          <w:tab w:val="clear" w:pos="708"/>
          <w:tab w:val="left" w:pos="0" w:leader="none"/>
        </w:tabs>
        <w:spacing w:lineRule="auto" w:line="276" w:before="2" w:after="1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Resultado Preliminar. </w:t>
      </w:r>
    </w:p>
    <w:p>
      <w:pPr>
        <w:pStyle w:val="ListParagraph"/>
        <w:widowControl w:val="false"/>
        <w:numPr>
          <w:ilvl w:val="1"/>
          <w:numId w:val="8"/>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seletivos2020@ma.def.br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7">
        <w:r>
          <w:rPr>
            <w:rStyle w:val="LinkdaInternet"/>
            <w:rFonts w:ascii="Times New Roman" w:hAnsi="Times New Roman"/>
            <w:b/>
            <w:color w:val="000000" w:themeColor="text1"/>
            <w:sz w:val="24"/>
            <w:szCs w:val="24"/>
          </w:rPr>
          <w:t>seletivos2020@ma.def.br</w:t>
        </w:r>
      </w:hyperlink>
      <w:r>
        <w:rPr>
          <w:rFonts w:ascii="Times New Roman" w:hAnsi="Times New Roman"/>
          <w:b/>
          <w:color w:val="000000" w:themeColor="text1"/>
          <w:sz w:val="24"/>
          <w:szCs w:val="24"/>
        </w:rPr>
        <w:t>).</w:t>
      </w:r>
    </w:p>
    <w:p>
      <w:pPr>
        <w:pStyle w:val="Ttulo1"/>
        <w:numPr>
          <w:ilvl w:val="0"/>
          <w:numId w:val="8"/>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8"/>
        </w:numPr>
        <w:tabs>
          <w:tab w:val="clear" w:pos="708"/>
          <w:tab w:val="left" w:pos="709"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prova dissertativa,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851"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7"/>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 e 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40" w:leader="none"/>
        </w:tabs>
        <w:spacing w:lineRule="auto" w:line="276" w:before="0" w:after="0"/>
        <w:ind w:left="1053"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755" w:leader="none"/>
        </w:tabs>
        <w:spacing w:lineRule="auto" w:line="276" w:before="0" w:after="0"/>
        <w:ind w:left="284"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76" w:before="0" w:after="0"/>
        <w:ind w:left="284"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76" w:before="0" w:after="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8"/>
        </w:numPr>
        <w:tabs>
          <w:tab w:val="clear" w:pos="708"/>
          <w:tab w:val="left" w:pos="740" w:leader="none"/>
        </w:tabs>
        <w:spacing w:lineRule="auto" w:line="276" w:before="0" w:after="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76" w:before="1" w:after="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1701" w:leader="none"/>
        </w:tabs>
        <w:spacing w:lineRule="auto" w:line="276" w:before="0" w:after="0"/>
        <w:ind w:left="28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8"/>
        </w:numPr>
        <w:tabs>
          <w:tab w:val="clear" w:pos="708"/>
          <w:tab w:val="left" w:pos="725" w:leader="none"/>
        </w:tabs>
        <w:spacing w:lineRule="auto" w:line="276" w:before="0" w:after="0"/>
        <w:ind w:left="284"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76" w:before="0" w:after="0"/>
        <w:ind w:left="284"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21 de outubro de 2020.</w:t>
      </w:r>
    </w:p>
    <w:p>
      <w:pPr>
        <w:pStyle w:val="NoSpacing"/>
        <w:spacing w:before="120" w:after="120"/>
        <w:ind w:left="709" w:hanging="0"/>
        <w:jc w:val="center"/>
        <w:rPr>
          <w:rFonts w:ascii="Times New Roman" w:hAnsi="Times New Roman" w:cs="Times New Roman"/>
          <w:b/>
          <w:b/>
          <w:color w:val="000000" w:themeColor="text1"/>
          <w:sz w:val="24"/>
          <w:szCs w:val="24"/>
          <w:lang w:val="pt-BR"/>
        </w:rPr>
      </w:pPr>
      <w:r>
        <w:rPr>
          <w:rFonts w:cs="Times New Roman" w:ascii="Times New Roman" w:hAnsi="Times New Roman"/>
          <w:color w:val="000000" w:themeColor="text1"/>
          <w:sz w:val="24"/>
          <w:szCs w:val="24"/>
          <w:lang w:val="pt-BR"/>
        </w:rPr>
        <w:br/>
      </w:r>
      <w:r>
        <w:rPr>
          <w:rFonts w:cs="Times New Roman" w:ascii="Times New Roman" w:hAnsi="Times New Roman"/>
          <w:b/>
          <w:color w:val="000000" w:themeColor="text1"/>
          <w:sz w:val="24"/>
          <w:szCs w:val="24"/>
          <w:lang w:val="pt-BR"/>
        </w:rPr>
        <w:t>ALBERTO PESSOA BASTOS</w:t>
      </w:r>
    </w:p>
    <w:p>
      <w:pPr>
        <w:sectPr>
          <w:headerReference w:type="default" r:id="rId8"/>
          <w:footerReference w:type="default" r:id="rId9"/>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Defensor Público-Geral do Estado do Maranhã</w:t>
      </w:r>
      <w:bookmarkStart w:id="0" w:name="_GoBack"/>
      <w:bookmarkEnd w:id="0"/>
      <w:r>
        <w:rPr>
          <w:rFonts w:cs="Times New Roman" w:ascii="Times New Roman" w:hAnsi="Times New Roman"/>
          <w:b/>
          <w:color w:val="000000" w:themeColor="text1"/>
          <w:sz w:val="24"/>
          <w:szCs w:val="24"/>
          <w:lang w:val="pt-BR"/>
        </w:rPr>
        <w:t>o</w:t>
      </w:r>
    </w:p>
    <w:p>
      <w:pPr>
        <w:pStyle w:val="NoSpacing"/>
        <w:spacing w:before="120" w:after="12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I – CRONOGRAMA</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elacomgrade"/>
        <w:tblW w:w="8494" w:type="dxa"/>
        <w:jc w:val="left"/>
        <w:tblInd w:w="0" w:type="dxa"/>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ATIVIDADES</w:t>
            </w:r>
          </w:p>
        </w:tc>
        <w:tc>
          <w:tcPr>
            <w:tcW w:w="3886"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PERÍODO</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Período de Impugnação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22/10/2020 e 23/10/2020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Das 08:00 horas do dia 24/10/2020 até as 23:59 horas do dia 28/10/2020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da lista preliminar de candidatos inscritos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29/10/2020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contra inscrições indeferidas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03/11/2020 e 04/11/2020 </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de informação do julgamento dos recursos, homologação das inscrições e divulgação do resultado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09/11/2020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em face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10/11/2020 e 11/11/2020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e convocação para Prova Dissertativa;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13/11/2020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Prova Dissertativa;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16/11/2020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Divulgação do resultado preliminar da Prova Dissertativa; </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do prazo para interposição de recursos contra o resultado preliminar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de informação do julgamento dos recursos e publicação do resultado final após recursos.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Homologação do processo seletivo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bl>
    <w:p>
      <w:pPr>
        <w:pStyle w:val="Normal"/>
        <w:jc w:val="center"/>
        <w:rPr>
          <w:rFonts w:ascii="Times New Roman" w:hAnsi="Times New Roman"/>
          <w:b/>
          <w:b/>
          <w:sz w:val="24"/>
          <w:szCs w:val="24"/>
        </w:rPr>
      </w:pPr>
      <w:r>
        <w:rPr>
          <w:rFonts w:ascii="Times New Roman" w:hAnsi="Times New Roman"/>
          <w:b/>
          <w:sz w:val="24"/>
          <w:szCs w:val="24"/>
        </w:rPr>
        <w:t>ANEXO II</w:t>
      </w:r>
    </w:p>
    <w:p>
      <w:pPr>
        <w:pStyle w:val="Normal"/>
        <w:suppressAutoHyphens w:val="true"/>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 </w:t>
      </w:r>
      <w:r>
        <w:rPr>
          <w:rFonts w:eastAsia="Times New Roman" w:ascii="Times New Roman" w:hAnsi="Times New Roman"/>
          <w:bCs/>
          <w:color w:val="000000" w:themeColor="text1"/>
          <w:sz w:val="24"/>
          <w:szCs w:val="24"/>
          <w:lang w:eastAsia="zh-CN"/>
        </w:rPr>
        <w:t>1. Parte Geral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Princípios Penais Constitucionais.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Da Aplicação e da Interpretação da Lei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Da Teoria do Crime.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Da Ação Típica.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Da Ilicitude.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Da Culpabilidade.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Teoria do Erro Jurídico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1.8. Concurso de Pessoas.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1.9. Das Penas e suas Espécies.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1.10. Aplicação da Pena.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Concurso de Crimes.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1.12. Suspensão Condicional da Pena.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1.13. Livramento Condicional.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1.14. Das Medidas de Segurança.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1.15. Da Ação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1.16. Das Causas Extintivas da Punibilidade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Parte Especial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Dos Crimes contra a Pessoa.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Dos Crimes contra o Patrimônio.</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Dos Crimes contra Dignidade Sexual.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Dos Crimes contra Administração Pública.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Lei de Execução Penal (LEP)</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Lei dos Crime Hediondos (Lei nº 8.072/90)</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Lei Maria da Penha (Lei nº 11.340/2006)</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Lei de Drogas (Lei nº 11.343/2006)</w:t>
      </w:r>
    </w:p>
    <w:p>
      <w:pPr>
        <w:pStyle w:val="Normal"/>
        <w:suppressAutoHyphens w:val="true"/>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t>7. Lei do Pacote “AntiCrime” (Lei nº 13.964/2019).</w:t>
      </w:r>
    </w:p>
    <w:p>
      <w:pPr>
        <w:pStyle w:val="Normal"/>
        <w:suppressAutoHyphens w:val="true"/>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uppressAutoHyphens w:val="true"/>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 xml:space="preserve"> </w:t>
      </w:r>
      <w:r>
        <w:rPr>
          <w:rFonts w:eastAsia="Times New Roman" w:ascii="Times New Roman" w:hAnsi="Times New Roman"/>
          <w:b/>
          <w:bCs/>
          <w:color w:val="000000" w:themeColor="text1"/>
          <w:sz w:val="24"/>
          <w:szCs w:val="24"/>
          <w:lang w:eastAsia="zh-CN"/>
        </w:rPr>
        <w:t>DIREITO PROCESSUAL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Princípios Constitucionais.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Do Inquérito Policial.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Da Ação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Da Competência.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Da Prova.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Da Prisão, das Medidas Cautelares e da Liberdade Provisória (com as alterações trazidas pela Lei 12.403/11 e Lei nº 13.964/2019)</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Das Citações e Intimações.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8. Da Sentença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 Dos Processos em Espécie.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 Do Processo Comum</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9.1.1. Da Instrução Criminal.9.1.2. Do Procedimento Relativo aos Processos de Competência do Tribunal do Júri.</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10. Dos Recursos em Geral.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11. Habeas Corpus.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12. Revisão Criminal.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Da Sentença – Dos Processos em espécie – Da Instrução Criminal – Júri - Dos Recursos em Geral – Denúncia e Prazos em Processo Penal – Ações Autônomas de Impugnação: Habeas Corpus e Revisão Criminal.</w:t>
      </w:r>
    </w:p>
    <w:p>
      <w:pPr>
        <w:pStyle w:val="Normal"/>
        <w:spacing w:before="0" w:after="160"/>
        <w:jc w:val="center"/>
        <w:rPr>
          <w:rFonts w:ascii="Times New Roman" w:hAnsi="Times New Roman"/>
          <w:b/>
          <w:b/>
          <w:sz w:val="24"/>
          <w:szCs w:val="24"/>
        </w:rPr>
      </w:pPr>
      <w:r>
        <w:rPr/>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4"/>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4">
              <wp:simplePos x="0" y="0"/>
              <wp:positionH relativeFrom="column">
                <wp:posOffset>509270</wp:posOffset>
              </wp:positionH>
              <wp:positionV relativeFrom="paragraph">
                <wp:posOffset>-33020</wp:posOffset>
              </wp:positionV>
              <wp:extent cx="4568825" cy="635"/>
              <wp:effectExtent l="19050" t="19050" r="41910" b="38100"/>
              <wp:wrapNone/>
              <wp:docPr id="3" name="Conector reto 2" title="CONECTOR"/>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inline distT="0" distB="0" distL="0" distR="0">
          <wp:extent cx="1104900" cy="908685"/>
          <wp:effectExtent l="0" t="0" r="0" b="0"/>
          <wp:docPr id="2" name="Figura1" descr="LOGO DA DEFENSORIA PÚBLICA DO ESTADO DO 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LOGO DA DEFENSORIA PÚBLICA DO ESTADO DO MARANHÃO"/>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3973"/>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cc3973"/>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cc3973"/>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cc3973"/>
    <w:rPr>
      <w:rFonts w:ascii="Arial" w:hAnsi="Arial" w:eastAsia="Arial" w:cs="Arial"/>
      <w:lang w:val="pt-PT" w:eastAsia="pt-PT" w:bidi="pt-PT"/>
    </w:rPr>
  </w:style>
  <w:style w:type="character" w:styleId="LinkdaInternet">
    <w:name w:val="Link da Internet"/>
    <w:basedOn w:val="DefaultParagraphFont"/>
    <w:uiPriority w:val="99"/>
    <w:unhideWhenUsed/>
    <w:rsid w:val="00cc3973"/>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cc3973"/>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cc397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mailto:seletivos2020@ma.def.br" TargetMode="External"/><Relationship Id="rId4" Type="http://schemas.openxmlformats.org/officeDocument/2006/relationships/hyperlink" Target="http://defensoria.ma.def.br/seletivo" TargetMode="External"/><Relationship Id="rId5" Type="http://schemas.openxmlformats.org/officeDocument/2006/relationships/hyperlink" Target="http://lattes.cnpq.br/" TargetMode="External"/><Relationship Id="rId6" Type="http://schemas.openxmlformats.org/officeDocument/2006/relationships/hyperlink" Target="https://defensoria.ma.def.br/seletivo/" TargetMode="External"/><Relationship Id="rId7" Type="http://schemas.openxmlformats.org/officeDocument/2006/relationships/hyperlink" Target="mailto:seletivos2020@ma.def.b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Application>LibreOffice/6.4.6.2$Windows_X86_64 LibreOffice_project/0ce51a4fd21bff07a5c061082cc82c5ed232f115</Application>
  <Pages>14</Pages>
  <Words>3774</Words>
  <Characters>21580</Characters>
  <CharactersWithSpaces>25050</CharactersWithSpaces>
  <Paragraphs>259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2020-10-16T12:04:00Z</dcterms:created>
  <dc:creator>Lorena Fernandes</dc:creator>
  <dc:description/>
  <dc:language>pt-BR</dc:language>
  <cp:lastModifiedBy>Lorena Fernandes</cp:lastModifiedBy>
  <cp:lastPrinted>2020-10-20T12:41:00Z</cp:lastPrinted>
  <dcterms:modified xsi:type="dcterms:W3CDTF">2020-10-20T14:35:00Z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