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006/2020</w:t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142" w:hanging="0"/>
        <w:jc w:val="center"/>
        <w:rPr>
          <w:rFonts w:ascii="Times New Roman" w:hAnsi="Times New Roman" w:eastAsia="Arial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FORENSE DE PÓS-GRADUAÇÃO EM DIREITO PARA ATUAÇÃO NO NÚCLEO DE DEFESA DA MULHER E POPULAÇÃO LGBT</w:t>
      </w:r>
    </w:p>
    <w:p>
      <w:pPr>
        <w:pStyle w:val="Normal"/>
        <w:ind w:left="426" w:hanging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IVO PARA ESTÁGIO FORENSE DE PÓS-GRADUAÇÃO EM DIREITO PARA ATUAÇÃO NO NÚCLEO DE DEFESA DA MULHER E POPULAÇÃO LGBT,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spacing w:lineRule="auto" w:line="360"/>
        <w:jc w:val="both"/>
        <w:rPr>
          <w:rFonts w:ascii="Times New Roman" w:hAnsi="Times New Roman" w:eastAsia="SimSun"/>
          <w:b/>
          <w:b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 w:eastAsia="SimSun"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Art. 1º. DIVULGAR</w:t>
      </w:r>
      <w:r>
        <w:rPr>
          <w:rFonts w:eastAsia="SimSu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o resultado final, conforme </w:t>
      </w:r>
      <w:r>
        <w:rPr>
          <w:rFonts w:eastAsia="SimSu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ANEXO ÚNICO</w:t>
      </w:r>
      <w:r>
        <w:rPr>
          <w:rFonts w:eastAsia="SimSu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deste Edital. </w:t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eastAsia="SimSu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Art. 2º.</w:t>
      </w:r>
      <w:r>
        <w:rPr>
          <w:rFonts w:eastAsia="SimSu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O presente Edital será </w:t>
      </w:r>
      <w:r>
        <w:rPr>
          <w:rFonts w:eastAsia="SimSu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PUBLICADO</w:t>
      </w:r>
      <w:r>
        <w:rPr>
          <w:rFonts w:eastAsia="SimSu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no site da Defensoria Pública/MA (defensoria.ma.def.br) e no Diário Oficial do Estado do Maranhão.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26 de outubro de 2020</w:t>
      </w:r>
    </w:p>
    <w:p>
      <w:pPr>
        <w:pStyle w:val="Ttulo2"/>
        <w:widowControl w:val="false"/>
        <w:spacing w:before="280" w:afterAutospacing="0" w:after="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  <w:lang w:val="pt-BR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="280" w:afterAutospacing="0" w:after="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  <w:lang w:val="pt-BR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  <w:lang w:val="pt-BR"/>
        </w:rPr>
        <w:t>ALBERTO PESSOA BASTOS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76" w:right="1416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Ttulo2"/>
        <w:widowControl w:val="false"/>
        <w:spacing w:before="280" w:afterAutospacing="0" w:after="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  <w:lang w:val="pt-BR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  <w:lang w:val="pt-BR"/>
        </w:rPr>
        <w:t>Defensor Público-Geral do Estado do Maranhão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</w:t>
      </w:r>
    </w:p>
    <w:p>
      <w:pPr>
        <w:pStyle w:val="Normal"/>
        <w:tabs>
          <w:tab w:val="clear" w:pos="708"/>
          <w:tab w:val="left" w:pos="-142" w:leader="none"/>
        </w:tabs>
        <w:ind w:lef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1"/>
        <w:tblpPr w:vertAnchor="page" w:horzAnchor="margin" w:tblpXSpec="center" w:leftFromText="141" w:rightFromText="141" w:tblpY="3226"/>
        <w:tblW w:w="677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3346"/>
        <w:gridCol w:w="1594"/>
      </w:tblGrid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-113" w:firstLine="113"/>
              <w:rPr>
                <w:rFonts w:ascii="Times New Roman" w:hAnsi="Times New Roman" w:eastAsia="Arial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COLOCAÇÃO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CANDIDATOS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LISTA GERAL</w:t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ind w:left="519" w:hanging="141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TOTAL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1º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Milany Michelle Pinheiro Freire</w:t>
            </w:r>
          </w:p>
        </w:tc>
        <w:tc>
          <w:tcPr>
            <w:tcW w:w="1594" w:type="dxa"/>
            <w:tcBorders/>
          </w:tcPr>
          <w:p>
            <w:pPr>
              <w:pStyle w:val="Normal"/>
              <w:tabs>
                <w:tab w:val="clear" w:pos="708"/>
                <w:tab w:val="left" w:pos="960" w:leader="none"/>
                <w:tab w:val="center" w:pos="1097" w:leader="none"/>
              </w:tabs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48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2º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 xml:space="preserve">Marina dos Santos Mesquita </w:t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43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cs="Calibri" w:ascii="Times New Roman" w:hAnsi="Times New Roman"/>
                <w:sz w:val="24"/>
                <w:szCs w:val="24"/>
                <w:lang w:val="en-US" w:eastAsia="en-US"/>
              </w:rPr>
              <w:t>3º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Mariana Marques Leite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42,5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4º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Camille Froes Pereira</w:t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42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5º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  <w:lang w:val="pt-BR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pt-BR" w:eastAsia="en-US"/>
              </w:rPr>
              <w:t xml:space="preserve">Alice Maria de Jesus Santos </w:t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41,5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6º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 xml:space="preserve">Letícia Santos Saboia </w:t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41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7º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Paulo Roberto Campos Lima</w:t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39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8º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Rafaela Jorge Bordalo Mendonça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38,5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9º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  <w:lang w:val="pt-BR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pt-BR" w:eastAsia="en-US"/>
              </w:rPr>
              <w:t>Thaynara Vanessa Silva de Assis</w:t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38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 w:themeColor="text1"/>
                <w:sz w:val="24"/>
                <w:szCs w:val="24"/>
                <w:shd w:fill="FFFFFF" w:val="clear"/>
                <w:lang w:val="en-US" w:eastAsia="en-US"/>
              </w:rPr>
              <w:t>10º</w:t>
            </w:r>
          </w:p>
        </w:tc>
        <w:tc>
          <w:tcPr>
            <w:tcW w:w="334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z w:val="24"/>
                <w:szCs w:val="24"/>
                <w:shd w:fill="FFFFFF" w:val="clear"/>
                <w:lang w:val="en-US" w:eastAsia="en-US"/>
              </w:rPr>
              <w:t>Letícia Cristina Costa Bezerra</w:t>
            </w:r>
          </w:p>
        </w:tc>
        <w:tc>
          <w:tcPr>
            <w:tcW w:w="159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37,5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</w:p>
    <w:tbl>
      <w:tblPr>
        <w:tblStyle w:val="Tabelacomgrade1"/>
        <w:tblW w:w="6804" w:type="dxa"/>
        <w:jc w:val="left"/>
        <w:tblInd w:w="8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3402"/>
        <w:gridCol w:w="1559"/>
      </w:tblGrid>
      <w:tr>
        <w:trPr/>
        <w:tc>
          <w:tcPr>
            <w:tcW w:w="184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CANDIDATOS – PESSOA COM DEFICIÊNCIA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ind w:left="519" w:hanging="141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TOTAL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Calibri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1º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Paulo Roberto Campos Lima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39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i w:val="false"/>
        <w:i w:val="false"/>
        <w:color w:val="auto"/>
        <w:kern w:val="2"/>
        <w:sz w:val="20"/>
      </w:rPr>
    </w:pPr>
    <w:r>
      <w:rPr>
        <w:i w:val="false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ind w:left="-284" w:hanging="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Logo da Defensoria Pública do Estado do Maranhão, verde e azul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 da Defensoria Pública do Estado do Maranhão, verde e azul. &#10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/>
    </w:pPr>
    <w:r>
      <w:rPr>
        <w:rFonts w:ascii="Tahoma" w:hAnsi="Tahoma"/>
        <w:b/>
        <w:spacing w:val="20"/>
        <w:w w:val="105"/>
        <w:sz w:val="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511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next w:val="Normal"/>
    <w:link w:val="Ttulo1Char"/>
    <w:qFormat/>
    <w:rsid w:val="0048511b"/>
    <w:pPr>
      <w:widowControl/>
      <w:suppressAutoHyphens w:val="true"/>
      <w:bidi w:val="0"/>
      <w:spacing w:lineRule="auto" w:line="254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48511b"/>
    <w:pPr>
      <w:widowControl/>
      <w:suppressAutoHyphens w:val="true"/>
      <w:bidi w:val="0"/>
      <w:spacing w:lineRule="auto" w:line="254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48511b"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48511b"/>
    <w:rPr>
      <w:rFonts w:ascii="SimSun" w:hAnsi="SimSun" w:eastAsia="SimSun"/>
      <w:b/>
      <w:i/>
      <w:sz w:val="36"/>
      <w:szCs w:val="36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48511b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48511b"/>
    <w:rPr>
      <w:lang w:val="en-US" w:eastAsia="en-US"/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LibreOffice/6.4.6.2$Windows_X86_64 LibreOffice_project/0ce51a4fd21bff07a5c061082cc82c5ed232f115</Application>
  <Pages>2</Pages>
  <Words>218</Words>
  <Characters>1198</Characters>
  <CharactersWithSpaces>1451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2020-10-26T16:44:00Z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2020-10-26T17:33:00Z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