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provas dissertativas,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NOTAS DAS PROVAS DISSERTATIVAS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15/09/2020 e 16/09/2020,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14 de setembro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NOTAS DAS PROVAS DISSERTATIVAS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NOTA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7048. THAINARA DE BRITO ARAUJO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6996. MARIANE DE FÁTIMA DO COUTO FURTADO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51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7057. CARLOS EDUARDO PEREIRA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50,4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6955. NAGILA PEREIRA BELFOR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6966. THAYNARA COSTA BASTOS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7058. LARISSA OLIVEIRA COELHO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43,8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7030. THAIS AUZIER QUEIROZ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43,2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6952. SUÉVYLLA BYANCA AMORIM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37,5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6988. ANDRESSA DA SILVA VIEGAS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37,5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6998. CECÍLIA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6965. ANA CAROLINA COSTA SODRE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6989. CRISTIANA DE SOUSA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7038. LUCAS GABRIEL DUARTE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34,2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6971. MONIQUE PEREIRA ALMADA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31,5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6951.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KELDA SOFIA DA COSTA SANTOS CAIRES ROCHA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7018.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THAÍS FABIANE JANSEN DE SÁ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7056.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DYHELLE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29,4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7037.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LAISE CAROLYNNE SOUSA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6959.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MARIA DE LOURDES AGUIAR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7014.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ANA PAULA BRAGA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7045.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DANILO DA SILVA MAGALHÃES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DESCLASSIFICADO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7" wp14:anchorId="4C1752A8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4C1752A8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2466975</wp:posOffset>
          </wp:positionH>
          <wp:positionV relativeFrom="paragraph">
            <wp:posOffset>-361950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4080-C82B-49DB-B1F1-1EBF5204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3</Pages>
  <Words>305</Words>
  <Characters>1648</Characters>
  <CharactersWithSpaces>1977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2020-09-14T16:46:00Z</dcterms:created>
  <dc:creator>Lorena Fernandes</dc:creator>
  <dc:description/>
  <dc:language>pt-BR</dc:language>
  <cp:lastModifiedBy>Lorena Fernandes</cp:lastModifiedBy>
  <cp:lastPrinted>2020-09-14T16:46:00Z</cp:lastPrinted>
  <dcterms:modified xsi:type="dcterms:W3CDTF">2020-09-14T16:48:00Z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