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002/2021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ESTAGIÁRIOS - Projeto Fortalecimento da Assistência Jurídica e Implantação 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Visita Virtual para Pessoas Privadas de Liberdade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SUBDEFENSOR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 ESTAGIÁRIOS - Projeto Fortalecimento da Assistência Jurídica e Implantação da Visita Virtual para Pessoas Privadas de Liberdade do  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Considerando a desistência dos candidatos </w:t>
      </w:r>
      <w:r>
        <w:rPr>
          <w:rFonts w:ascii="Times New Roman" w:hAnsi="Times New Roman"/>
          <w:sz w:val="24"/>
          <w:szCs w:val="24"/>
        </w:rPr>
        <w:t>MATHEUS ROCHA MOUSINHO,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GABRIELLA MADEIRA RODRIGUES, </w:t>
      </w:r>
      <w:r>
        <w:rPr>
          <w:rFonts w:ascii="Times New Roman" w:hAnsi="Times New Roman"/>
          <w:sz w:val="24"/>
          <w:szCs w:val="24"/>
        </w:rPr>
        <w:t xml:space="preserve">HEDASMILLY DA CRUZ MELO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 xml:space="preserve">e </w:t>
      </w:r>
      <w:r>
        <w:rPr>
          <w:rFonts w:ascii="Times New Roman" w:hAnsi="Times New Roman"/>
          <w:sz w:val="24"/>
          <w:szCs w:val="24"/>
        </w:rPr>
        <w:t>MILLANY MICHELLE PINHEIRO FREIRE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 xml:space="preserve">TORNAR PÚBLICA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a convocação da candidata 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FFFFFF" w:val="clear"/>
        </w:rPr>
        <w:t>MONIQUE PEREIRA ALMADA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para encaminhar os seguintes documentos (originais) digitalizados para o e-mail </w:t>
      </w:r>
      <w:r>
        <w:rPr>
          <w:rFonts w:eastAsia="Times New Roman" w:ascii="Times New Roman" w:hAnsi="Times New Roman"/>
          <w:color w:val="2E74B5"/>
          <w:sz w:val="24"/>
          <w:szCs w:val="24"/>
          <w:u w:val="single"/>
          <w:lang w:eastAsia="zh-CN"/>
        </w:rPr>
        <w:t>convenios@ma.def.br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até dia 12 de março de 2021: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Os documentos elencados no item 3.7 do Edital de Abertura;</w:t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endereço;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Comprovante de conta 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d) Número do PIS/PASEP.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III.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2º.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11 de março de 2021.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6DC8D89F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6DC8D89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d260f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218</Words>
  <Characters>1276</Characters>
  <CharactersWithSpaces>1485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2021-03-11T14:23:00Z</dcterms:created>
  <dc:creator>Lorena Fernandes</dc:creator>
  <dc:description/>
  <dc:language>pt-BR</dc:language>
  <cp:lastModifiedBy>Jéssica Andrade</cp:lastModifiedBy>
  <cp:lastPrinted>2018-08-06T19:19:00Z</cp:lastPrinted>
  <dcterms:modified xsi:type="dcterms:W3CDTF">2021-03-11T14:23:00Z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