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8647" w:leader="none"/>
          <w:tab w:val="left" w:pos="8789" w:leader="none"/>
        </w:tabs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708"/>
          <w:tab w:val="left" w:pos="8647" w:leader="none"/>
          <w:tab w:val="left" w:pos="8789" w:leader="none"/>
        </w:tabs>
        <w:spacing w:lineRule="auto" w:line="36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deste, através do Presidente da Comissão de Seleção,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legais, considerando o Edital nº 00</w:t>
      </w:r>
      <w:bookmarkStart w:id="0" w:name="_GoBack"/>
      <w:bookmarkEnd w:id="0"/>
      <w:r>
        <w:rPr>
          <w:sz w:val="24"/>
          <w:szCs w:val="24"/>
        </w:rPr>
        <w:t>1/2020, disponibilizar os espelhos de correção das questões do processo seletivo para estágio forense de pós-graduação em Direito.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firstLine="709"/>
        <w:rPr>
          <w:sz w:val="24"/>
          <w:szCs w:val="24"/>
        </w:rPr>
      </w:pPr>
      <w:r>
        <w:rPr>
          <w:sz w:val="24"/>
          <w:szCs w:val="24"/>
        </w:rPr>
        <w:t xml:space="preserve">Para acesso às folhas de respostas, o (a) candidato (a) deverá encaminhar requerimento para o e-mail </w:t>
      </w:r>
      <w:r>
        <w:rPr>
          <w:i/>
          <w:sz w:val="24"/>
          <w:szCs w:val="24"/>
          <w:u w:val="single"/>
        </w:rPr>
        <w:t>nucleoribamar@ma.def.br</w:t>
      </w:r>
      <w:r>
        <w:rPr>
          <w:sz w:val="24"/>
          <w:szCs w:val="24"/>
        </w:rPr>
        <w:t>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Espelho de correção da questão 01: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1 - Falar da política pública de acesso à justiça e a relação com a Defensoria Pública - </w:t>
      </w:r>
      <w:r>
        <w:rPr>
          <w:b/>
          <w:color w:val="222222"/>
          <w:lang w:eastAsia="pt-BR"/>
        </w:rPr>
        <w:t>1 ponto;</w:t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2 - Tratar da legitimidade da Defensoria Pública na tutela dos direitos difusos e coletivos - </w:t>
      </w:r>
      <w:r>
        <w:rPr>
          <w:b/>
          <w:color w:val="222222"/>
          <w:lang w:eastAsia="pt-BR"/>
        </w:rPr>
        <w:t>1 ponto;</w:t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3 - Tratar dos requisitos para ser usuário do serviço da Defensoria Pública, como hipossuficiência (renda de até 3 salários mínimos) e vulnerabilidade jurídica (criança e adolescente em situação de risco, mulher vítima de violência doméstica, idoso, pessoa com deficiência etc.) - </w:t>
      </w:r>
      <w:r>
        <w:rPr>
          <w:b/>
          <w:color w:val="222222"/>
          <w:lang w:eastAsia="pt-BR"/>
        </w:rPr>
        <w:t>1 ponto;</w:t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4 - Tratar da autonomia da Defensoria Pública e de sua essencialidade enquanto função jurisdicional do Estado - </w:t>
      </w:r>
      <w:r>
        <w:rPr>
          <w:b/>
          <w:color w:val="222222"/>
          <w:lang w:eastAsia="pt-BR"/>
        </w:rPr>
        <w:t>0,5 ponto;</w:t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5 - Tratar de temas relacionados à ampliação do serviço da Defensoria Pública, como a Emenda Constitucional 80/2014, paridade orçamentária e financeira com as demais instituições do sistema de justiça etc. - </w:t>
      </w:r>
      <w:r>
        <w:rPr>
          <w:b/>
          <w:color w:val="222222"/>
          <w:lang w:eastAsia="pt-BR"/>
        </w:rPr>
        <w:t>0,5 ponto;</w:t>
      </w:r>
    </w:p>
    <w:p>
      <w:pPr>
        <w:pStyle w:val="Normal"/>
        <w:shd w:val="clear" w:color="auto" w:fill="FFFFFF"/>
        <w:tabs>
          <w:tab w:val="clear" w:pos="708"/>
          <w:tab w:val="left" w:pos="8647" w:leader="none"/>
          <w:tab w:val="left" w:pos="8789" w:leader="none"/>
        </w:tabs>
        <w:suppressAutoHyphens w:val="false"/>
        <w:spacing w:lineRule="auto" w:line="360"/>
        <w:ind w:left="-142" w:hanging="0"/>
        <w:jc w:val="both"/>
        <w:rPr>
          <w:color w:val="222222"/>
          <w:lang w:eastAsia="pt-BR"/>
        </w:rPr>
      </w:pPr>
      <w:r>
        <w:rPr>
          <w:color w:val="222222"/>
          <w:lang w:eastAsia="pt-BR"/>
        </w:rPr>
        <w:t xml:space="preserve">6 - Português - </w:t>
      </w:r>
      <w:r>
        <w:rPr>
          <w:b/>
          <w:color w:val="222222"/>
          <w:lang w:eastAsia="pt-BR"/>
        </w:rPr>
        <w:t>1 ponto.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Espelho de correção da questão 02: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1 - Estruturação textual e correção gramatical – </w:t>
      </w:r>
      <w:r>
        <w:rPr>
          <w:b/>
          <w:sz w:val="24"/>
          <w:szCs w:val="24"/>
        </w:rPr>
        <w:t>0,5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2 - Incompetência absoluta (ação fundada em direito real – o imóvel se localiza em São José de Ribamar) – </w:t>
      </w:r>
      <w:r>
        <w:rPr>
          <w:b/>
          <w:sz w:val="24"/>
          <w:szCs w:val="24"/>
        </w:rPr>
        <w:t>0,5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3 - Usucapião – </w:t>
      </w:r>
      <w:r>
        <w:rPr>
          <w:b/>
          <w:sz w:val="24"/>
          <w:szCs w:val="24"/>
        </w:rPr>
        <w:t>1,0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4 – Subsidiariamente: Função social da propriedade; boa-fé e indenização/retenção pelas benfeitorias – </w:t>
      </w:r>
      <w:r>
        <w:rPr>
          <w:b/>
          <w:sz w:val="24"/>
          <w:szCs w:val="24"/>
        </w:rPr>
        <w:t>0,5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Espelho de correção da questão 03: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1 - Estruturação textual e correção gramatical – </w:t>
      </w:r>
      <w:r>
        <w:rPr>
          <w:b/>
          <w:sz w:val="24"/>
          <w:szCs w:val="24"/>
        </w:rPr>
        <w:t>0,5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2 – Conceituação do princípio da insignificância – </w:t>
      </w:r>
      <w:r>
        <w:rPr>
          <w:b/>
          <w:sz w:val="24"/>
          <w:szCs w:val="24"/>
        </w:rPr>
        <w:t>0,5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3 – Menção a natureza jurídica de causa de atipicidade material – </w:t>
      </w:r>
      <w:r>
        <w:rPr>
          <w:b/>
          <w:sz w:val="24"/>
          <w:szCs w:val="24"/>
        </w:rPr>
        <w:t>1,0 ponto;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  <w:t xml:space="preserve">4 – Abordagem sobre os requisitos elencados pela jurisprudência: (1) mínima ofensividade da conduta; (2) inexistência de periculosidade social da ação; (3) reduzido grau de reprovabilidade do comportamento; e (4) inexpressividade da lesão jurídica provocada. – </w:t>
      </w:r>
      <w:r>
        <w:rPr>
          <w:b/>
          <w:sz w:val="24"/>
          <w:szCs w:val="24"/>
        </w:rPr>
        <w:t>0,5 ponto.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 w:before="0" w:after="0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  <w:tab w:val="left" w:pos="8789" w:leader="none"/>
        </w:tabs>
        <w:spacing w:lineRule="auto" w:line="360"/>
        <w:jc w:val="center"/>
        <w:rPr>
          <w:color w:val="000000"/>
        </w:rPr>
      </w:pPr>
      <w:r>
        <w:rPr>
          <w:color w:val="000000"/>
        </w:rPr>
        <w:t>São José de Ribamar/MA, 06 de agosto de 2020</w:t>
      </w:r>
    </w:p>
    <w:p>
      <w:pPr>
        <w:pStyle w:val="Normal"/>
        <w:tabs>
          <w:tab w:val="clear" w:pos="708"/>
          <w:tab w:val="left" w:pos="8647" w:leader="none"/>
          <w:tab w:val="left" w:pos="8789" w:leader="none"/>
        </w:tabs>
        <w:ind w:right="283" w:hanging="0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page">
              <wp:posOffset>2786380</wp:posOffset>
            </wp:positionH>
            <wp:positionV relativeFrom="paragraph">
              <wp:posOffset>29845</wp:posOffset>
            </wp:positionV>
            <wp:extent cx="2292350" cy="1381125"/>
            <wp:effectExtent l="0" t="0" r="0" b="0"/>
            <wp:wrapTight wrapText="bothSides">
              <wp:wrapPolygon edited="0">
                <wp:start x="-42" y="0"/>
                <wp:lineTo x="-42" y="21409"/>
                <wp:lineTo x="21357" y="21409"/>
                <wp:lineTo x="21357" y="0"/>
                <wp:lineTo x="-42" y="0"/>
              </wp:wrapPolygon>
            </wp:wrapTight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before="40" w:after="40"/>
        <w:ind w:right="283" w:hanging="0"/>
        <w:jc w:val="center"/>
        <w:rPr>
          <w:b/>
          <w:b/>
          <w:w w:val="105"/>
          <w:sz w:val="24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8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635" r="3810" b="127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3180080</wp:posOffset>
          </wp:positionH>
          <wp:positionV relativeFrom="paragraph">
            <wp:posOffset>-165100</wp:posOffset>
          </wp:positionV>
          <wp:extent cx="1080135" cy="791210"/>
          <wp:effectExtent l="0" t="0" r="0" b="0"/>
          <wp:wrapNone/>
          <wp:docPr id="2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556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0</TotalTime>
  <Application>LibreOffice/6.4.3.2$Windows_X86_64 LibreOffice_project/747b5d0ebf89f41c860ec2a39efd7cb15b54f2d8</Application>
  <Pages>2</Pages>
  <Words>392</Words>
  <Characters>2139</Characters>
  <CharactersWithSpaces>2521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2020-08-06T16:50:00Z</dcterms:created>
  <dc:creator>Alef Aguiar Sampaio</dc:creator>
  <dc:description/>
  <dc:language>pt-BR</dc:language>
  <cp:lastModifiedBy>Alef Aguiar Sampaio</cp:lastModifiedBy>
  <cp:lastPrinted>2020-08-06T14:07:00Z</cp:lastPrinted>
  <dcterms:modified xsi:type="dcterms:W3CDTF">2020-08-06T16:50:00Z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